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3"/>
        <w:jc w:val="center"/>
        <w:rPr>
          <w:rFonts w:cs="Times New Roman" w:asciiTheme="minorEastAsia" w:hAnsiTheme="minorEastAsia"/>
          <w:b/>
          <w:sz w:val="44"/>
          <w:szCs w:val="44"/>
        </w:rPr>
      </w:pPr>
      <w:r>
        <w:rPr>
          <w:rFonts w:hint="eastAsia" w:cs="Times New Roman" w:asciiTheme="minorEastAsia" w:hAnsiTheme="minorEastAsia"/>
          <w:b/>
          <w:sz w:val="44"/>
          <w:szCs w:val="44"/>
        </w:rPr>
        <w:t xml:space="preserve"> </w:t>
      </w:r>
    </w:p>
    <w:p>
      <w:pPr>
        <w:ind w:firstLine="883"/>
        <w:jc w:val="center"/>
        <w:rPr>
          <w:rFonts w:cs="Times New Roman" w:asciiTheme="minorEastAsia" w:hAnsiTheme="minorEastAsia"/>
          <w:b/>
          <w:sz w:val="44"/>
          <w:szCs w:val="44"/>
        </w:rPr>
      </w:pPr>
    </w:p>
    <w:p>
      <w:pPr>
        <w:ind w:firstLine="883"/>
        <w:jc w:val="center"/>
        <w:rPr>
          <w:rFonts w:cs="Times New Roman" w:asciiTheme="minorEastAsia" w:hAnsiTheme="minorEastAsia"/>
          <w:b/>
          <w:sz w:val="44"/>
          <w:szCs w:val="44"/>
        </w:rPr>
      </w:pPr>
    </w:p>
    <w:p>
      <w:pPr>
        <w:ind w:firstLine="883"/>
        <w:jc w:val="center"/>
        <w:rPr>
          <w:rFonts w:cs="Times New Roman" w:asciiTheme="minorEastAsia" w:hAnsiTheme="minorEastAsia"/>
          <w:b/>
          <w:sz w:val="44"/>
          <w:szCs w:val="44"/>
        </w:rPr>
      </w:pPr>
    </w:p>
    <w:p>
      <w:pPr>
        <w:ind w:firstLine="883"/>
        <w:jc w:val="center"/>
        <w:rPr>
          <w:rFonts w:cs="Times New Roman" w:asciiTheme="minorEastAsia" w:hAnsiTheme="minorEastAsia"/>
          <w:b/>
          <w:sz w:val="44"/>
          <w:szCs w:val="44"/>
        </w:rPr>
      </w:pPr>
    </w:p>
    <w:p>
      <w:pPr>
        <w:ind w:firstLine="883"/>
        <w:rPr>
          <w:rFonts w:cs="Times New Roman" w:asciiTheme="minorEastAsia" w:hAnsiTheme="minorEastAsia"/>
          <w:b/>
          <w:sz w:val="44"/>
          <w:szCs w:val="44"/>
        </w:rPr>
      </w:pPr>
    </w:p>
    <w:p>
      <w:pPr>
        <w:ind w:firstLine="883"/>
        <w:jc w:val="center"/>
        <w:rPr>
          <w:rFonts w:cs="Times New Roman" w:asciiTheme="minorEastAsia" w:hAnsiTheme="minorEastAsia"/>
          <w:b/>
          <w:sz w:val="44"/>
          <w:szCs w:val="44"/>
        </w:rPr>
      </w:pPr>
    </w:p>
    <w:p>
      <w:pPr>
        <w:jc w:val="center"/>
        <w:rPr>
          <w:rFonts w:ascii="华文中宋" w:hAnsi="华文中宋" w:eastAsia="华文中宋" w:cs="华文中宋"/>
          <w:b/>
          <w:sz w:val="52"/>
          <w:szCs w:val="52"/>
        </w:rPr>
      </w:pPr>
      <w:r>
        <w:rPr>
          <w:rFonts w:hint="eastAsia" w:ascii="华文中宋" w:hAnsi="华文中宋" w:eastAsia="华文中宋" w:cs="华文中宋"/>
          <w:b/>
          <w:sz w:val="52"/>
          <w:szCs w:val="52"/>
        </w:rPr>
        <w:t>《区块链+蔬菜质量安全溯源信息采集规范》</w:t>
      </w:r>
    </w:p>
    <w:p>
      <w:pPr>
        <w:jc w:val="center"/>
        <w:rPr>
          <w:rFonts w:ascii="华文中宋" w:hAnsi="华文中宋" w:eastAsia="华文中宋" w:cs="华文中宋"/>
          <w:b/>
          <w:sz w:val="52"/>
          <w:szCs w:val="52"/>
        </w:rPr>
      </w:pPr>
      <w:r>
        <w:rPr>
          <w:rFonts w:hint="eastAsia" w:ascii="华文中宋" w:hAnsi="华文中宋" w:eastAsia="华文中宋" w:cs="华文中宋"/>
          <w:b/>
          <w:sz w:val="52"/>
          <w:szCs w:val="52"/>
        </w:rPr>
        <w:t>编制说明</w:t>
      </w:r>
    </w:p>
    <w:p>
      <w:pPr>
        <w:ind w:firstLine="562"/>
        <w:jc w:val="center"/>
        <w:rPr>
          <w:rFonts w:cs="Times New Roman" w:asciiTheme="minorEastAsia" w:hAnsiTheme="minorEastAsia"/>
          <w:b/>
          <w:sz w:val="28"/>
          <w:szCs w:val="28"/>
        </w:rPr>
      </w:pPr>
    </w:p>
    <w:p>
      <w:pPr>
        <w:ind w:firstLine="562"/>
        <w:jc w:val="center"/>
        <w:rPr>
          <w:rFonts w:cs="Times New Roman" w:asciiTheme="minorEastAsia" w:hAnsiTheme="minorEastAsia"/>
          <w:b/>
          <w:sz w:val="28"/>
          <w:szCs w:val="28"/>
        </w:rPr>
      </w:pPr>
    </w:p>
    <w:p>
      <w:pPr>
        <w:ind w:firstLine="562"/>
        <w:rPr>
          <w:rFonts w:cs="Times New Roman" w:asciiTheme="minorEastAsia" w:hAnsiTheme="minorEastAsia"/>
          <w:b/>
          <w:sz w:val="28"/>
          <w:szCs w:val="28"/>
        </w:rPr>
      </w:pPr>
    </w:p>
    <w:p>
      <w:pPr>
        <w:ind w:firstLine="562"/>
        <w:jc w:val="center"/>
        <w:rPr>
          <w:rFonts w:cs="Times New Roman" w:asciiTheme="minorEastAsia" w:hAnsiTheme="minorEastAsia"/>
          <w:b/>
          <w:sz w:val="28"/>
          <w:szCs w:val="28"/>
        </w:rPr>
      </w:pPr>
    </w:p>
    <w:p>
      <w:pPr>
        <w:ind w:firstLine="562"/>
        <w:jc w:val="center"/>
        <w:rPr>
          <w:rFonts w:cs="Times New Roman" w:asciiTheme="minorEastAsia" w:hAnsiTheme="minorEastAsia"/>
          <w:b/>
          <w:sz w:val="28"/>
          <w:szCs w:val="28"/>
        </w:rPr>
      </w:pPr>
    </w:p>
    <w:p>
      <w:pPr>
        <w:ind w:firstLine="562"/>
        <w:jc w:val="center"/>
        <w:rPr>
          <w:rFonts w:cs="Times New Roman" w:asciiTheme="minorEastAsia" w:hAnsiTheme="minorEastAsia"/>
          <w:b/>
          <w:sz w:val="28"/>
          <w:szCs w:val="28"/>
        </w:rPr>
      </w:pPr>
    </w:p>
    <w:p>
      <w:pPr>
        <w:ind w:firstLine="562"/>
        <w:jc w:val="center"/>
        <w:rPr>
          <w:rFonts w:cs="Times New Roman" w:asciiTheme="minorEastAsia" w:hAnsiTheme="minorEastAsia"/>
          <w:b/>
          <w:sz w:val="28"/>
          <w:szCs w:val="28"/>
        </w:rPr>
      </w:pPr>
    </w:p>
    <w:p>
      <w:pPr>
        <w:spacing w:line="560" w:lineRule="exact"/>
        <w:ind w:firstLine="480"/>
        <w:jc w:val="center"/>
        <w:rPr>
          <w:rFonts w:ascii="黑体" w:hAnsi="黑体" w:eastAsia="黑体" w:cs="方正仿宋简体"/>
          <w:sz w:val="24"/>
          <w:szCs w:val="24"/>
        </w:rPr>
      </w:pPr>
      <w:r>
        <w:rPr>
          <w:rFonts w:hint="eastAsia" w:ascii="黑体" w:hAnsi="黑体" w:eastAsia="黑体" w:cs="方正仿宋简体"/>
          <w:sz w:val="24"/>
          <w:szCs w:val="24"/>
        </w:rPr>
        <w:t>中国电信集团有限公司</w:t>
      </w:r>
    </w:p>
    <w:p>
      <w:pPr>
        <w:spacing w:line="560" w:lineRule="exact"/>
        <w:ind w:firstLine="480"/>
        <w:jc w:val="center"/>
        <w:rPr>
          <w:rFonts w:ascii="黑体" w:hAnsi="黑体" w:eastAsia="黑体" w:cs="方正仿宋简体"/>
          <w:sz w:val="24"/>
          <w:szCs w:val="24"/>
        </w:rPr>
        <w:sectPr>
          <w:headerReference r:id="rId3" w:type="first"/>
          <w:footerReference r:id="rId4" w:type="default"/>
          <w:pgSz w:w="11906" w:h="16838"/>
          <w:pgMar w:top="1440" w:right="1800" w:bottom="1440" w:left="1800" w:header="851" w:footer="992" w:gutter="0"/>
          <w:pgNumType w:fmt="upperRoman" w:start="1"/>
          <w:cols w:space="425" w:num="1"/>
          <w:titlePg/>
          <w:docGrid w:type="lines" w:linePitch="312" w:charSpace="0"/>
        </w:sectPr>
      </w:pPr>
      <w:r>
        <w:rPr>
          <w:rFonts w:hint="eastAsia" w:ascii="黑体" w:hAnsi="黑体" w:eastAsia="黑体" w:cs="方正仿宋简体"/>
          <w:sz w:val="24"/>
          <w:szCs w:val="24"/>
        </w:rPr>
        <w:t>202</w:t>
      </w:r>
      <w:r>
        <w:rPr>
          <w:rFonts w:ascii="黑体" w:hAnsi="黑体" w:eastAsia="黑体" w:cs="方正仿宋简体"/>
          <w:sz w:val="24"/>
          <w:szCs w:val="24"/>
        </w:rPr>
        <w:t>3</w:t>
      </w:r>
      <w:r>
        <w:rPr>
          <w:rFonts w:hint="eastAsia" w:ascii="黑体" w:hAnsi="黑体" w:eastAsia="黑体" w:cs="方正仿宋简体"/>
          <w:sz w:val="24"/>
          <w:szCs w:val="24"/>
        </w:rPr>
        <w:t>年12月25日</w:t>
      </w:r>
    </w:p>
    <w:sdt>
      <w:sdtPr>
        <w:rPr>
          <w:rFonts w:asciiTheme="minorHAnsi" w:hAnsiTheme="minorHAnsi" w:eastAsiaTheme="minorEastAsia" w:cstheme="minorBidi"/>
          <w:b w:val="0"/>
          <w:bCs w:val="0"/>
          <w:color w:val="auto"/>
          <w:kern w:val="2"/>
          <w:sz w:val="21"/>
          <w:szCs w:val="22"/>
          <w:lang w:val="zh-CN"/>
        </w:rPr>
        <w:id w:val="1656104244"/>
        <w:docPartObj>
          <w:docPartGallery w:val="Table of Contents"/>
          <w:docPartUnique/>
        </w:docPartObj>
      </w:sdtPr>
      <w:sdtEndPr>
        <w:rPr>
          <w:rFonts w:asciiTheme="minorEastAsia" w:hAnsiTheme="minorEastAsia" w:eastAsiaTheme="minorEastAsia" w:cstheme="minorBidi"/>
          <w:b w:val="0"/>
          <w:bCs w:val="0"/>
          <w:color w:val="auto"/>
          <w:kern w:val="2"/>
          <w:sz w:val="28"/>
          <w:szCs w:val="28"/>
          <w:lang w:val="zh-CN"/>
        </w:rPr>
      </w:sdtEndPr>
      <w:sdtContent>
        <w:p>
          <w:pPr>
            <w:pStyle w:val="33"/>
            <w:ind w:firstLine="420"/>
            <w:jc w:val="center"/>
            <w:rPr>
              <w:rFonts w:ascii="宋体" w:hAnsi="宋体" w:eastAsia="宋体"/>
              <w:color w:val="auto"/>
              <w:sz w:val="36"/>
              <w:szCs w:val="36"/>
              <w:lang w:val="zh-CN"/>
            </w:rPr>
          </w:pPr>
          <w:r>
            <w:rPr>
              <w:rFonts w:ascii="宋体" w:hAnsi="宋体" w:eastAsia="宋体"/>
              <w:color w:val="auto"/>
              <w:sz w:val="36"/>
              <w:szCs w:val="36"/>
              <w:lang w:val="zh-CN"/>
            </w:rPr>
            <w:t>目录</w:t>
          </w:r>
        </w:p>
        <w:p/>
        <w:p>
          <w:pPr>
            <w:pStyle w:val="9"/>
            <w:tabs>
              <w:tab w:val="right" w:leader="dot" w:pos="8306"/>
            </w:tabs>
            <w:spacing w:line="360" w:lineRule="auto"/>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TOC \o "1-3" \h \z \u </w:instrText>
          </w:r>
          <w:r>
            <w:rPr>
              <w:rFonts w:asciiTheme="minorEastAsia" w:hAnsiTheme="minorEastAsia"/>
              <w:sz w:val="28"/>
              <w:szCs w:val="28"/>
            </w:rPr>
            <w:fldChar w:fldCharType="separate"/>
          </w:r>
          <w:r>
            <w:fldChar w:fldCharType="begin"/>
          </w:r>
          <w:r>
            <w:instrText xml:space="preserve"> HYPERLINK \l "_Toc1658" </w:instrText>
          </w:r>
          <w:r>
            <w:fldChar w:fldCharType="separate"/>
          </w:r>
          <w:r>
            <w:rPr>
              <w:rFonts w:cs="Times New Roman" w:asciiTheme="minorEastAsia" w:hAnsiTheme="minorEastAsia"/>
              <w:sz w:val="28"/>
              <w:szCs w:val="28"/>
            </w:rPr>
            <w:t>一、工作简况</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_Toc1658 \h </w:instrText>
          </w:r>
          <w:r>
            <w:rPr>
              <w:rFonts w:asciiTheme="minorEastAsia" w:hAnsiTheme="minorEastAsia"/>
              <w:sz w:val="28"/>
              <w:szCs w:val="28"/>
            </w:rPr>
            <w:fldChar w:fldCharType="separate"/>
          </w:r>
          <w:r>
            <w:rPr>
              <w:rFonts w:asciiTheme="minorEastAsia" w:hAnsiTheme="minorEastAsia"/>
              <w:sz w:val="28"/>
              <w:szCs w:val="28"/>
            </w:rPr>
            <w:t>1</w:t>
          </w:r>
          <w:r>
            <w:rPr>
              <w:rFonts w:asciiTheme="minorEastAsia" w:hAnsiTheme="minorEastAsia"/>
              <w:sz w:val="28"/>
              <w:szCs w:val="28"/>
            </w:rPr>
            <w:fldChar w:fldCharType="end"/>
          </w:r>
          <w:r>
            <w:rPr>
              <w:rFonts w:asciiTheme="minorEastAsia" w:hAnsiTheme="minorEastAsia"/>
              <w:sz w:val="28"/>
              <w:szCs w:val="28"/>
            </w:rPr>
            <w:fldChar w:fldCharType="end"/>
          </w:r>
        </w:p>
        <w:p>
          <w:pPr>
            <w:pStyle w:val="9"/>
            <w:tabs>
              <w:tab w:val="right" w:leader="dot" w:pos="8306"/>
            </w:tabs>
            <w:spacing w:line="360" w:lineRule="auto"/>
            <w:rPr>
              <w:rFonts w:asciiTheme="minorEastAsia" w:hAnsiTheme="minorEastAsia"/>
              <w:sz w:val="28"/>
              <w:szCs w:val="28"/>
            </w:rPr>
          </w:pPr>
          <w:r>
            <w:fldChar w:fldCharType="begin"/>
          </w:r>
          <w:r>
            <w:instrText xml:space="preserve"> HYPERLINK \l "_Toc26995" </w:instrText>
          </w:r>
          <w:r>
            <w:fldChar w:fldCharType="separate"/>
          </w:r>
          <w:r>
            <w:rPr>
              <w:rFonts w:cs="Times New Roman" w:asciiTheme="minorEastAsia" w:hAnsiTheme="minorEastAsia"/>
              <w:sz w:val="28"/>
              <w:szCs w:val="28"/>
            </w:rPr>
            <w:t>二、标准</w:t>
          </w:r>
          <w:r>
            <w:rPr>
              <w:rFonts w:hint="eastAsia" w:cs="Times New Roman" w:asciiTheme="minorEastAsia" w:hAnsiTheme="minorEastAsia"/>
              <w:sz w:val="28"/>
              <w:szCs w:val="28"/>
            </w:rPr>
            <w:t>编制</w:t>
          </w:r>
          <w:r>
            <w:rPr>
              <w:rFonts w:cs="Times New Roman" w:asciiTheme="minorEastAsia" w:hAnsiTheme="minorEastAsia"/>
              <w:sz w:val="28"/>
              <w:szCs w:val="28"/>
            </w:rPr>
            <w:t>原则</w:t>
          </w:r>
          <w:r>
            <w:rPr>
              <w:rFonts w:hint="eastAsia" w:cs="Times New Roman" w:asciiTheme="minorEastAsia" w:hAnsiTheme="minorEastAsia"/>
              <w:sz w:val="28"/>
              <w:szCs w:val="28"/>
            </w:rPr>
            <w:t>、主要内容及其确定依据</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_Toc26995 \h </w:instrText>
          </w:r>
          <w:r>
            <w:rPr>
              <w:rFonts w:asciiTheme="minorEastAsia" w:hAnsiTheme="minorEastAsia"/>
              <w:sz w:val="28"/>
              <w:szCs w:val="28"/>
            </w:rPr>
            <w:fldChar w:fldCharType="separate"/>
          </w:r>
          <w:r>
            <w:rPr>
              <w:rFonts w:asciiTheme="minorEastAsia" w:hAnsiTheme="minorEastAsia"/>
              <w:sz w:val="28"/>
              <w:szCs w:val="28"/>
            </w:rPr>
            <w:t>8</w:t>
          </w:r>
          <w:r>
            <w:rPr>
              <w:rFonts w:asciiTheme="minorEastAsia" w:hAnsiTheme="minorEastAsia"/>
              <w:sz w:val="28"/>
              <w:szCs w:val="28"/>
            </w:rPr>
            <w:fldChar w:fldCharType="end"/>
          </w:r>
          <w:r>
            <w:rPr>
              <w:rFonts w:asciiTheme="minorEastAsia" w:hAnsiTheme="minorEastAsia"/>
              <w:sz w:val="28"/>
              <w:szCs w:val="28"/>
            </w:rPr>
            <w:fldChar w:fldCharType="end"/>
          </w:r>
        </w:p>
        <w:p>
          <w:pPr>
            <w:pStyle w:val="9"/>
            <w:tabs>
              <w:tab w:val="right" w:leader="dot" w:pos="8306"/>
            </w:tabs>
            <w:spacing w:line="360" w:lineRule="auto"/>
            <w:rPr>
              <w:rFonts w:asciiTheme="minorEastAsia" w:hAnsiTheme="minorEastAsia"/>
              <w:sz w:val="28"/>
              <w:szCs w:val="28"/>
            </w:rPr>
          </w:pPr>
          <w:r>
            <w:fldChar w:fldCharType="begin"/>
          </w:r>
          <w:r>
            <w:instrText xml:space="preserve"> HYPERLINK \l "_Toc27553" </w:instrText>
          </w:r>
          <w:r>
            <w:fldChar w:fldCharType="separate"/>
          </w:r>
          <w:r>
            <w:rPr>
              <w:rFonts w:cs="Times New Roman" w:asciiTheme="minorEastAsia" w:hAnsiTheme="minorEastAsia"/>
              <w:sz w:val="28"/>
              <w:szCs w:val="28"/>
            </w:rPr>
            <w:t>三、</w:t>
          </w:r>
          <w:r>
            <w:rPr>
              <w:rFonts w:hint="eastAsia" w:cs="Times New Roman" w:asciiTheme="minorEastAsia" w:hAnsiTheme="minorEastAsia"/>
              <w:sz w:val="28"/>
              <w:szCs w:val="28"/>
            </w:rPr>
            <w:t>试验验证报告，技术经济论证，预期经济效果</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_Toc27553 \h </w:instrText>
          </w:r>
          <w:r>
            <w:rPr>
              <w:rFonts w:asciiTheme="minorEastAsia" w:hAnsiTheme="minorEastAsia"/>
              <w:sz w:val="28"/>
              <w:szCs w:val="28"/>
            </w:rPr>
            <w:fldChar w:fldCharType="separate"/>
          </w:r>
          <w:r>
            <w:rPr>
              <w:rFonts w:asciiTheme="minorEastAsia" w:hAnsiTheme="minorEastAsia"/>
              <w:sz w:val="28"/>
              <w:szCs w:val="28"/>
            </w:rPr>
            <w:t>14</w:t>
          </w:r>
          <w:r>
            <w:rPr>
              <w:rFonts w:asciiTheme="minorEastAsia" w:hAnsiTheme="minorEastAsia"/>
              <w:sz w:val="28"/>
              <w:szCs w:val="28"/>
            </w:rPr>
            <w:fldChar w:fldCharType="end"/>
          </w:r>
          <w:r>
            <w:rPr>
              <w:rFonts w:asciiTheme="minorEastAsia" w:hAnsiTheme="minorEastAsia"/>
              <w:sz w:val="28"/>
              <w:szCs w:val="28"/>
            </w:rPr>
            <w:fldChar w:fldCharType="end"/>
          </w:r>
        </w:p>
        <w:p>
          <w:pPr>
            <w:pStyle w:val="9"/>
            <w:tabs>
              <w:tab w:val="right" w:leader="dot" w:pos="8306"/>
            </w:tabs>
            <w:spacing w:line="360" w:lineRule="auto"/>
            <w:rPr>
              <w:rFonts w:asciiTheme="minorEastAsia" w:hAnsiTheme="minorEastAsia"/>
              <w:sz w:val="28"/>
              <w:szCs w:val="28"/>
            </w:rPr>
          </w:pPr>
          <w:r>
            <w:fldChar w:fldCharType="begin"/>
          </w:r>
          <w:r>
            <w:instrText xml:space="preserve"> HYPERLINK \l "_Toc4022" </w:instrText>
          </w:r>
          <w:r>
            <w:fldChar w:fldCharType="separate"/>
          </w:r>
          <w:r>
            <w:rPr>
              <w:rFonts w:cs="Times New Roman" w:asciiTheme="minorEastAsia" w:hAnsiTheme="minorEastAsia"/>
              <w:sz w:val="28"/>
              <w:szCs w:val="28"/>
            </w:rPr>
            <w:t>四、</w:t>
          </w:r>
          <w:r>
            <w:rPr>
              <w:rFonts w:hint="eastAsia" w:cs="Times New Roman" w:asciiTheme="minorEastAsia" w:hAnsiTheme="minorEastAsia"/>
              <w:sz w:val="28"/>
              <w:szCs w:val="28"/>
            </w:rPr>
            <w:t>与国际国外同类标准的比对情况</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_Toc4022 \h </w:instrText>
          </w:r>
          <w:r>
            <w:rPr>
              <w:rFonts w:asciiTheme="minorEastAsia" w:hAnsiTheme="minorEastAsia"/>
              <w:sz w:val="28"/>
              <w:szCs w:val="28"/>
            </w:rPr>
            <w:fldChar w:fldCharType="separate"/>
          </w:r>
          <w:r>
            <w:rPr>
              <w:rFonts w:asciiTheme="minorEastAsia" w:hAnsiTheme="minorEastAsia"/>
              <w:sz w:val="28"/>
              <w:szCs w:val="28"/>
            </w:rPr>
            <w:t>16</w:t>
          </w:r>
          <w:r>
            <w:rPr>
              <w:rFonts w:asciiTheme="minorEastAsia" w:hAnsiTheme="minorEastAsia"/>
              <w:sz w:val="28"/>
              <w:szCs w:val="28"/>
            </w:rPr>
            <w:fldChar w:fldCharType="end"/>
          </w:r>
          <w:r>
            <w:rPr>
              <w:rFonts w:asciiTheme="minorEastAsia" w:hAnsiTheme="minorEastAsia"/>
              <w:sz w:val="28"/>
              <w:szCs w:val="28"/>
            </w:rPr>
            <w:fldChar w:fldCharType="end"/>
          </w:r>
        </w:p>
        <w:p>
          <w:pPr>
            <w:pStyle w:val="9"/>
            <w:tabs>
              <w:tab w:val="right" w:leader="dot" w:pos="8306"/>
            </w:tabs>
            <w:spacing w:line="360" w:lineRule="auto"/>
            <w:rPr>
              <w:rFonts w:asciiTheme="minorEastAsia" w:hAnsiTheme="minorEastAsia"/>
              <w:sz w:val="28"/>
              <w:szCs w:val="28"/>
            </w:rPr>
          </w:pPr>
          <w:r>
            <w:fldChar w:fldCharType="begin"/>
          </w:r>
          <w:r>
            <w:instrText xml:space="preserve"> HYPERLINK \l "_Toc24515" </w:instrText>
          </w:r>
          <w:r>
            <w:fldChar w:fldCharType="separate"/>
          </w:r>
          <w:r>
            <w:rPr>
              <w:rFonts w:hint="eastAsia" w:cs="Times New Roman" w:asciiTheme="minorEastAsia" w:hAnsiTheme="minorEastAsia"/>
              <w:sz w:val="28"/>
              <w:szCs w:val="28"/>
            </w:rPr>
            <w:t>五、引用、采用或参考国际国外标准情况</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_Toc24515 \h </w:instrText>
          </w:r>
          <w:r>
            <w:rPr>
              <w:rFonts w:asciiTheme="minorEastAsia" w:hAnsiTheme="minorEastAsia"/>
              <w:sz w:val="28"/>
              <w:szCs w:val="28"/>
            </w:rPr>
            <w:fldChar w:fldCharType="separate"/>
          </w:r>
          <w:r>
            <w:rPr>
              <w:rFonts w:asciiTheme="minorEastAsia" w:hAnsiTheme="minorEastAsia"/>
              <w:sz w:val="28"/>
              <w:szCs w:val="28"/>
            </w:rPr>
            <w:t>16</w:t>
          </w:r>
          <w:r>
            <w:rPr>
              <w:rFonts w:asciiTheme="minorEastAsia" w:hAnsiTheme="minorEastAsia"/>
              <w:sz w:val="28"/>
              <w:szCs w:val="28"/>
            </w:rPr>
            <w:fldChar w:fldCharType="end"/>
          </w:r>
          <w:r>
            <w:rPr>
              <w:rFonts w:asciiTheme="minorEastAsia" w:hAnsiTheme="minorEastAsia"/>
              <w:sz w:val="28"/>
              <w:szCs w:val="28"/>
            </w:rPr>
            <w:fldChar w:fldCharType="end"/>
          </w:r>
        </w:p>
        <w:p>
          <w:pPr>
            <w:pStyle w:val="9"/>
            <w:tabs>
              <w:tab w:val="right" w:leader="dot" w:pos="8306"/>
            </w:tabs>
            <w:spacing w:line="360" w:lineRule="auto"/>
            <w:rPr>
              <w:rFonts w:asciiTheme="minorEastAsia" w:hAnsiTheme="minorEastAsia"/>
              <w:sz w:val="28"/>
              <w:szCs w:val="28"/>
            </w:rPr>
          </w:pPr>
          <w:r>
            <w:fldChar w:fldCharType="begin"/>
          </w:r>
          <w:r>
            <w:instrText xml:space="preserve"> HYPERLINK \l "_Toc17960" </w:instrText>
          </w:r>
          <w:r>
            <w:fldChar w:fldCharType="separate"/>
          </w:r>
          <w:r>
            <w:rPr>
              <w:rFonts w:hint="eastAsia" w:cs="Times New Roman" w:asciiTheme="minorEastAsia" w:hAnsiTheme="minorEastAsia"/>
              <w:sz w:val="28"/>
              <w:szCs w:val="28"/>
            </w:rPr>
            <w:t>六</w:t>
          </w:r>
          <w:r>
            <w:rPr>
              <w:rFonts w:cs="Times New Roman" w:asciiTheme="minorEastAsia" w:hAnsiTheme="minorEastAsia"/>
              <w:sz w:val="28"/>
              <w:szCs w:val="28"/>
            </w:rPr>
            <w:t>、</w:t>
          </w:r>
          <w:r>
            <w:rPr>
              <w:rFonts w:hint="eastAsia" w:cs="Times New Roman" w:asciiTheme="minorEastAsia" w:hAnsiTheme="minorEastAsia"/>
              <w:sz w:val="28"/>
              <w:szCs w:val="28"/>
            </w:rPr>
            <w:t>与现行法律法规、强制性标准、相关标准的关系</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_Toc17960 \h </w:instrText>
          </w:r>
          <w:r>
            <w:rPr>
              <w:rFonts w:asciiTheme="minorEastAsia" w:hAnsiTheme="minorEastAsia"/>
              <w:sz w:val="28"/>
              <w:szCs w:val="28"/>
            </w:rPr>
            <w:fldChar w:fldCharType="separate"/>
          </w:r>
          <w:r>
            <w:rPr>
              <w:rFonts w:asciiTheme="minorEastAsia" w:hAnsiTheme="minorEastAsia"/>
              <w:sz w:val="28"/>
              <w:szCs w:val="28"/>
            </w:rPr>
            <w:t>16</w:t>
          </w:r>
          <w:r>
            <w:rPr>
              <w:rFonts w:asciiTheme="minorEastAsia" w:hAnsiTheme="minorEastAsia"/>
              <w:sz w:val="28"/>
              <w:szCs w:val="28"/>
            </w:rPr>
            <w:fldChar w:fldCharType="end"/>
          </w:r>
          <w:r>
            <w:rPr>
              <w:rFonts w:asciiTheme="minorEastAsia" w:hAnsiTheme="minorEastAsia"/>
              <w:sz w:val="28"/>
              <w:szCs w:val="28"/>
            </w:rPr>
            <w:fldChar w:fldCharType="end"/>
          </w:r>
        </w:p>
        <w:p>
          <w:pPr>
            <w:pStyle w:val="9"/>
            <w:tabs>
              <w:tab w:val="right" w:leader="dot" w:pos="8306"/>
            </w:tabs>
            <w:spacing w:line="360" w:lineRule="auto"/>
            <w:rPr>
              <w:rFonts w:asciiTheme="minorEastAsia" w:hAnsiTheme="minorEastAsia"/>
              <w:sz w:val="28"/>
              <w:szCs w:val="28"/>
            </w:rPr>
          </w:pPr>
          <w:r>
            <w:fldChar w:fldCharType="begin"/>
          </w:r>
          <w:r>
            <w:instrText xml:space="preserve"> HYPERLINK \l "_Toc11527" </w:instrText>
          </w:r>
          <w:r>
            <w:fldChar w:fldCharType="separate"/>
          </w:r>
          <w:r>
            <w:rPr>
              <w:rFonts w:hint="eastAsia" w:cs="Times New Roman" w:asciiTheme="minorEastAsia" w:hAnsiTheme="minorEastAsia"/>
              <w:sz w:val="28"/>
              <w:szCs w:val="28"/>
            </w:rPr>
            <w:t>七</w:t>
          </w:r>
          <w:r>
            <w:rPr>
              <w:rFonts w:cs="Times New Roman" w:asciiTheme="minorEastAsia" w:hAnsiTheme="minorEastAsia"/>
              <w:sz w:val="28"/>
              <w:szCs w:val="28"/>
            </w:rPr>
            <w:t>、重大分歧意见的处理经过和依据</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_Toc11527 \h </w:instrText>
          </w:r>
          <w:r>
            <w:rPr>
              <w:rFonts w:asciiTheme="minorEastAsia" w:hAnsiTheme="minorEastAsia"/>
              <w:sz w:val="28"/>
              <w:szCs w:val="28"/>
            </w:rPr>
            <w:fldChar w:fldCharType="separate"/>
          </w:r>
          <w:r>
            <w:rPr>
              <w:rFonts w:asciiTheme="minorEastAsia" w:hAnsiTheme="minorEastAsia"/>
              <w:sz w:val="28"/>
              <w:szCs w:val="28"/>
            </w:rPr>
            <w:t>17</w:t>
          </w:r>
          <w:r>
            <w:rPr>
              <w:rFonts w:asciiTheme="minorEastAsia" w:hAnsiTheme="minorEastAsia"/>
              <w:sz w:val="28"/>
              <w:szCs w:val="28"/>
            </w:rPr>
            <w:fldChar w:fldCharType="end"/>
          </w:r>
          <w:r>
            <w:rPr>
              <w:rFonts w:asciiTheme="minorEastAsia" w:hAnsiTheme="minorEastAsia"/>
              <w:sz w:val="28"/>
              <w:szCs w:val="28"/>
            </w:rPr>
            <w:fldChar w:fldCharType="end"/>
          </w:r>
        </w:p>
        <w:p>
          <w:pPr>
            <w:pStyle w:val="9"/>
            <w:tabs>
              <w:tab w:val="right" w:leader="dot" w:pos="8306"/>
            </w:tabs>
            <w:spacing w:line="360" w:lineRule="auto"/>
            <w:rPr>
              <w:rFonts w:asciiTheme="minorEastAsia" w:hAnsiTheme="minorEastAsia"/>
              <w:sz w:val="28"/>
              <w:szCs w:val="28"/>
            </w:rPr>
          </w:pPr>
          <w:r>
            <w:fldChar w:fldCharType="begin"/>
          </w:r>
          <w:r>
            <w:instrText xml:space="preserve"> HYPERLINK \l "_Toc4404" </w:instrText>
          </w:r>
          <w:r>
            <w:fldChar w:fldCharType="separate"/>
          </w:r>
          <w:r>
            <w:rPr>
              <w:rFonts w:cs="Times New Roman" w:asciiTheme="minorEastAsia" w:hAnsiTheme="minorEastAsia"/>
              <w:sz w:val="28"/>
              <w:szCs w:val="28"/>
            </w:rPr>
            <w:t>八、</w:t>
          </w:r>
          <w:r>
            <w:rPr>
              <w:rFonts w:hint="eastAsia" w:cs="Times New Roman" w:asciiTheme="minorEastAsia" w:hAnsiTheme="minorEastAsia"/>
              <w:sz w:val="28"/>
              <w:szCs w:val="28"/>
            </w:rPr>
            <w:t>涉及专利的有关说明</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_Toc4404 \h </w:instrText>
          </w:r>
          <w:r>
            <w:rPr>
              <w:rFonts w:asciiTheme="minorEastAsia" w:hAnsiTheme="minorEastAsia"/>
              <w:sz w:val="28"/>
              <w:szCs w:val="28"/>
            </w:rPr>
            <w:fldChar w:fldCharType="separate"/>
          </w:r>
          <w:r>
            <w:rPr>
              <w:rFonts w:asciiTheme="minorEastAsia" w:hAnsiTheme="minorEastAsia"/>
              <w:sz w:val="28"/>
              <w:szCs w:val="28"/>
            </w:rPr>
            <w:t>17</w:t>
          </w:r>
          <w:r>
            <w:rPr>
              <w:rFonts w:asciiTheme="minorEastAsia" w:hAnsiTheme="minorEastAsia"/>
              <w:sz w:val="28"/>
              <w:szCs w:val="28"/>
            </w:rPr>
            <w:fldChar w:fldCharType="end"/>
          </w:r>
          <w:r>
            <w:rPr>
              <w:rFonts w:asciiTheme="minorEastAsia" w:hAnsiTheme="minorEastAsia"/>
              <w:sz w:val="28"/>
              <w:szCs w:val="28"/>
            </w:rPr>
            <w:fldChar w:fldCharType="end"/>
          </w:r>
        </w:p>
        <w:p>
          <w:pPr>
            <w:pStyle w:val="9"/>
            <w:tabs>
              <w:tab w:val="right" w:leader="dot" w:pos="8306"/>
            </w:tabs>
            <w:spacing w:line="360" w:lineRule="auto"/>
            <w:rPr>
              <w:rFonts w:asciiTheme="minorEastAsia" w:hAnsiTheme="minorEastAsia"/>
              <w:sz w:val="28"/>
              <w:szCs w:val="28"/>
            </w:rPr>
          </w:pPr>
          <w:r>
            <w:fldChar w:fldCharType="begin"/>
          </w:r>
          <w:r>
            <w:instrText xml:space="preserve"> HYPERLINK \l "_Toc9602" </w:instrText>
          </w:r>
          <w:r>
            <w:fldChar w:fldCharType="separate"/>
          </w:r>
          <w:r>
            <w:rPr>
              <w:rFonts w:hint="eastAsia" w:cs="Times New Roman" w:asciiTheme="minorEastAsia" w:hAnsiTheme="minorEastAsia"/>
              <w:sz w:val="28"/>
              <w:szCs w:val="28"/>
            </w:rPr>
            <w:t>九</w:t>
          </w:r>
          <w:r>
            <w:rPr>
              <w:rFonts w:cs="Times New Roman" w:asciiTheme="minorEastAsia" w:hAnsiTheme="minorEastAsia"/>
              <w:sz w:val="28"/>
              <w:szCs w:val="28"/>
            </w:rPr>
            <w:t>、贯彻</w:t>
          </w:r>
          <w:r>
            <w:rPr>
              <w:rFonts w:hint="eastAsia" w:cs="Times New Roman" w:asciiTheme="minorEastAsia" w:hAnsiTheme="minorEastAsia"/>
              <w:sz w:val="28"/>
              <w:szCs w:val="28"/>
            </w:rPr>
            <w:t>实施</w:t>
          </w:r>
          <w:r>
            <w:rPr>
              <w:rFonts w:cs="Times New Roman" w:asciiTheme="minorEastAsia" w:hAnsiTheme="minorEastAsia"/>
              <w:sz w:val="28"/>
              <w:szCs w:val="28"/>
            </w:rPr>
            <w:t>标准的</w:t>
          </w:r>
          <w:r>
            <w:rPr>
              <w:rFonts w:hint="eastAsia" w:cs="Times New Roman" w:asciiTheme="minorEastAsia" w:hAnsiTheme="minorEastAsia"/>
              <w:sz w:val="28"/>
              <w:szCs w:val="28"/>
            </w:rPr>
            <w:t>建议</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_Toc9602 \h </w:instrText>
          </w:r>
          <w:r>
            <w:rPr>
              <w:rFonts w:asciiTheme="minorEastAsia" w:hAnsiTheme="minorEastAsia"/>
              <w:sz w:val="28"/>
              <w:szCs w:val="28"/>
            </w:rPr>
            <w:fldChar w:fldCharType="separate"/>
          </w:r>
          <w:r>
            <w:rPr>
              <w:rFonts w:asciiTheme="minorEastAsia" w:hAnsiTheme="minorEastAsia"/>
              <w:sz w:val="28"/>
              <w:szCs w:val="28"/>
            </w:rPr>
            <w:t>17</w:t>
          </w:r>
          <w:r>
            <w:rPr>
              <w:rFonts w:asciiTheme="minorEastAsia" w:hAnsiTheme="minorEastAsia"/>
              <w:sz w:val="28"/>
              <w:szCs w:val="28"/>
            </w:rPr>
            <w:fldChar w:fldCharType="end"/>
          </w:r>
          <w:r>
            <w:rPr>
              <w:rFonts w:asciiTheme="minorEastAsia" w:hAnsiTheme="minorEastAsia"/>
              <w:sz w:val="28"/>
              <w:szCs w:val="28"/>
            </w:rPr>
            <w:fldChar w:fldCharType="end"/>
          </w:r>
        </w:p>
        <w:p>
          <w:pPr>
            <w:pStyle w:val="9"/>
            <w:tabs>
              <w:tab w:val="right" w:leader="dot" w:pos="8306"/>
            </w:tabs>
            <w:spacing w:line="360" w:lineRule="auto"/>
            <w:rPr>
              <w:rFonts w:asciiTheme="minorEastAsia" w:hAnsiTheme="minorEastAsia"/>
              <w:sz w:val="28"/>
              <w:szCs w:val="28"/>
            </w:rPr>
          </w:pPr>
          <w:r>
            <w:fldChar w:fldCharType="begin"/>
          </w:r>
          <w:r>
            <w:instrText xml:space="preserve"> HYPERLINK \l "_Toc17546" </w:instrText>
          </w:r>
          <w:r>
            <w:fldChar w:fldCharType="separate"/>
          </w:r>
          <w:r>
            <w:rPr>
              <w:rFonts w:hint="eastAsia" w:cs="Times New Roman" w:asciiTheme="minorEastAsia" w:hAnsiTheme="minorEastAsia"/>
              <w:sz w:val="28"/>
              <w:szCs w:val="28"/>
            </w:rPr>
            <w:t>十</w:t>
          </w:r>
          <w:r>
            <w:rPr>
              <w:rFonts w:cs="Times New Roman" w:asciiTheme="minorEastAsia" w:hAnsiTheme="minorEastAsia"/>
              <w:sz w:val="28"/>
              <w:szCs w:val="28"/>
            </w:rPr>
            <w:t>、</w:t>
          </w:r>
          <w:r>
            <w:rPr>
              <w:rFonts w:hint="eastAsia" w:cs="Times New Roman" w:asciiTheme="minorEastAsia" w:hAnsiTheme="minorEastAsia"/>
              <w:sz w:val="28"/>
              <w:szCs w:val="28"/>
            </w:rPr>
            <w:t>其他说明</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_Toc17546 \h </w:instrText>
          </w:r>
          <w:r>
            <w:rPr>
              <w:rFonts w:asciiTheme="minorEastAsia" w:hAnsiTheme="minorEastAsia"/>
              <w:sz w:val="28"/>
              <w:szCs w:val="28"/>
            </w:rPr>
            <w:fldChar w:fldCharType="separate"/>
          </w:r>
          <w:r>
            <w:rPr>
              <w:rFonts w:asciiTheme="minorEastAsia" w:hAnsiTheme="minorEastAsia"/>
              <w:sz w:val="28"/>
              <w:szCs w:val="28"/>
            </w:rPr>
            <w:t>19</w:t>
          </w:r>
          <w:r>
            <w:rPr>
              <w:rFonts w:asciiTheme="minorEastAsia" w:hAnsiTheme="minorEastAsia"/>
              <w:sz w:val="28"/>
              <w:szCs w:val="28"/>
            </w:rPr>
            <w:fldChar w:fldCharType="end"/>
          </w:r>
          <w:r>
            <w:rPr>
              <w:rFonts w:asciiTheme="minorEastAsia" w:hAnsiTheme="minorEastAsia"/>
              <w:sz w:val="28"/>
              <w:szCs w:val="28"/>
            </w:rPr>
            <w:fldChar w:fldCharType="end"/>
          </w:r>
        </w:p>
        <w:p>
          <w:pPr>
            <w:snapToGrid w:val="0"/>
            <w:spacing w:line="360" w:lineRule="auto"/>
            <w:rPr>
              <w:rFonts w:asciiTheme="minorEastAsia" w:hAnsiTheme="minorEastAsia"/>
              <w:sz w:val="28"/>
              <w:szCs w:val="28"/>
            </w:rPr>
          </w:pPr>
          <w:r>
            <w:rPr>
              <w:rFonts w:asciiTheme="minorEastAsia" w:hAnsiTheme="minorEastAsia"/>
              <w:bCs/>
              <w:sz w:val="28"/>
              <w:szCs w:val="28"/>
              <w:lang w:val="zh-CN"/>
            </w:rPr>
            <w:fldChar w:fldCharType="end"/>
          </w:r>
        </w:p>
      </w:sdtContent>
    </w:sdt>
    <w:p>
      <w:pPr>
        <w:ind w:firstLine="562"/>
        <w:jc w:val="center"/>
        <w:rPr>
          <w:rFonts w:cs="Times New Roman" w:asciiTheme="minorEastAsia" w:hAnsiTheme="minorEastAsia"/>
          <w:b/>
          <w:sz w:val="28"/>
          <w:szCs w:val="28"/>
        </w:rPr>
        <w:sectPr>
          <w:footerReference r:id="rId5" w:type="first"/>
          <w:pgSz w:w="11906" w:h="16838"/>
          <w:pgMar w:top="1440" w:right="1800" w:bottom="1440" w:left="1800" w:header="851" w:footer="992" w:gutter="0"/>
          <w:pgNumType w:fmt="upperRoman" w:start="1"/>
          <w:cols w:space="425" w:num="1"/>
          <w:titlePg/>
          <w:docGrid w:type="lines" w:linePitch="312" w:charSpace="0"/>
        </w:sectPr>
      </w:pPr>
    </w:p>
    <w:p>
      <w:pPr>
        <w:ind w:firstLine="721"/>
        <w:jc w:val="center"/>
        <w:rPr>
          <w:rFonts w:ascii="华文中宋" w:hAnsi="华文中宋" w:eastAsia="华文中宋" w:cs="Times New Roman"/>
          <w:b/>
          <w:sz w:val="36"/>
          <w:szCs w:val="28"/>
        </w:rPr>
      </w:pPr>
    </w:p>
    <w:p>
      <w:pPr>
        <w:ind w:firstLine="721"/>
        <w:jc w:val="center"/>
        <w:rPr>
          <w:rFonts w:ascii="华文中宋" w:hAnsi="华文中宋" w:eastAsia="华文中宋" w:cs="Times New Roman"/>
          <w:b/>
          <w:sz w:val="36"/>
          <w:szCs w:val="28"/>
        </w:rPr>
      </w:pPr>
      <w:r>
        <w:rPr>
          <w:rFonts w:hint="eastAsia" w:ascii="华文中宋" w:hAnsi="华文中宋" w:eastAsia="华文中宋" w:cs="Times New Roman"/>
          <w:b/>
          <w:sz w:val="36"/>
          <w:szCs w:val="28"/>
        </w:rPr>
        <w:t>《区块链+蔬菜质量安全溯源信息采集规范》</w:t>
      </w:r>
    </w:p>
    <w:p>
      <w:pPr>
        <w:ind w:firstLine="721"/>
        <w:jc w:val="center"/>
        <w:rPr>
          <w:rFonts w:ascii="华文中宋" w:hAnsi="华文中宋" w:eastAsia="华文中宋" w:cs="Times New Roman"/>
          <w:b/>
          <w:sz w:val="36"/>
          <w:szCs w:val="28"/>
        </w:rPr>
      </w:pPr>
      <w:r>
        <w:rPr>
          <w:rFonts w:hint="eastAsia" w:ascii="华文中宋" w:hAnsi="华文中宋" w:eastAsia="华文中宋" w:cs="Times New Roman"/>
          <w:b/>
          <w:sz w:val="36"/>
          <w:szCs w:val="28"/>
        </w:rPr>
        <w:t>编制说明</w:t>
      </w:r>
    </w:p>
    <w:p>
      <w:pPr>
        <w:rPr>
          <w:rFonts w:ascii="华文中宋" w:hAnsi="华文中宋" w:eastAsia="华文中宋" w:cs="Times New Roman"/>
          <w:sz w:val="28"/>
          <w:szCs w:val="28"/>
        </w:rPr>
      </w:pPr>
    </w:p>
    <w:p>
      <w:pPr>
        <w:pStyle w:val="2"/>
        <w:snapToGrid w:val="0"/>
        <w:spacing w:before="0" w:after="0" w:line="360" w:lineRule="auto"/>
        <w:ind w:firstLine="562" w:firstLineChars="200"/>
        <w:rPr>
          <w:rFonts w:ascii="黑体" w:hAnsi="黑体" w:eastAsia="黑体" w:cs="Times New Roman"/>
          <w:sz w:val="28"/>
          <w:szCs w:val="28"/>
        </w:rPr>
      </w:pPr>
      <w:bookmarkStart w:id="0" w:name="_Toc1658"/>
      <w:bookmarkStart w:id="1" w:name="_Toc85035211"/>
      <w:r>
        <w:rPr>
          <w:rFonts w:ascii="黑体" w:hAnsi="黑体" w:eastAsia="黑体" w:cs="Times New Roman"/>
          <w:sz w:val="28"/>
          <w:szCs w:val="28"/>
        </w:rPr>
        <w:t>一、工作简况</w:t>
      </w:r>
      <w:bookmarkEnd w:id="0"/>
      <w:bookmarkEnd w:id="1"/>
    </w:p>
    <w:p>
      <w:pPr>
        <w:snapToGrid w:val="0"/>
        <w:spacing w:line="360" w:lineRule="auto"/>
        <w:ind w:firstLine="562" w:firstLineChars="200"/>
        <w:rPr>
          <w:rFonts w:ascii="楷体" w:hAnsi="楷体" w:eastAsia="楷体" w:cs="黑体"/>
          <w:b/>
          <w:sz w:val="28"/>
          <w:szCs w:val="28"/>
        </w:rPr>
      </w:pPr>
      <w:r>
        <w:rPr>
          <w:rFonts w:ascii="楷体" w:hAnsi="楷体" w:eastAsia="楷体" w:cs="黑体"/>
          <w:b/>
          <w:sz w:val="28"/>
          <w:szCs w:val="28"/>
        </w:rPr>
        <w:t>（一）</w:t>
      </w:r>
      <w:r>
        <w:rPr>
          <w:rFonts w:hint="eastAsia" w:ascii="楷体" w:hAnsi="楷体" w:eastAsia="楷体" w:cs="黑体"/>
          <w:b/>
          <w:sz w:val="28"/>
          <w:szCs w:val="28"/>
        </w:rPr>
        <w:t>项目</w:t>
      </w:r>
      <w:r>
        <w:rPr>
          <w:rFonts w:ascii="楷体" w:hAnsi="楷体" w:eastAsia="楷体" w:cs="黑体"/>
          <w:b/>
          <w:sz w:val="28"/>
          <w:szCs w:val="28"/>
        </w:rPr>
        <w:t>任务来源</w:t>
      </w:r>
    </w:p>
    <w:p>
      <w:pPr>
        <w:snapToGrid w:val="0"/>
        <w:spacing w:line="360" w:lineRule="auto"/>
        <w:ind w:firstLine="560" w:firstLineChars="200"/>
        <w:rPr>
          <w:rFonts w:ascii="宋体" w:hAnsi="宋体" w:eastAsia="宋体" w:cs="方正仿宋简体"/>
          <w:sz w:val="28"/>
          <w:szCs w:val="28"/>
        </w:rPr>
      </w:pPr>
      <w:r>
        <w:rPr>
          <w:rFonts w:hint="eastAsia" w:ascii="宋体" w:hAnsi="宋体" w:eastAsia="宋体" w:cs="方正仿宋简体"/>
          <w:sz w:val="28"/>
          <w:szCs w:val="28"/>
        </w:rPr>
        <w:t>本标准由农业农村部信息化标准化技术委员会提出并归口农业行业标准制定任务。</w:t>
      </w:r>
    </w:p>
    <w:p>
      <w:pPr>
        <w:snapToGrid w:val="0"/>
        <w:spacing w:line="360" w:lineRule="auto"/>
        <w:ind w:firstLine="560" w:firstLineChars="200"/>
        <w:rPr>
          <w:rFonts w:ascii="宋体" w:hAnsi="宋体" w:eastAsia="宋体" w:cs="方正仿宋简体"/>
          <w:sz w:val="28"/>
          <w:szCs w:val="28"/>
        </w:rPr>
      </w:pPr>
      <w:r>
        <w:rPr>
          <w:rFonts w:hint="eastAsia" w:ascii="宋体" w:hAnsi="宋体" w:eastAsia="宋体" w:cs="方正仿宋简体"/>
          <w:sz w:val="28"/>
          <w:szCs w:val="28"/>
        </w:rPr>
        <w:t>项目名称：区块链+蔬菜质量安全追溯信息采集规范；</w:t>
      </w:r>
    </w:p>
    <w:p>
      <w:pPr>
        <w:snapToGrid w:val="0"/>
        <w:spacing w:line="360" w:lineRule="auto"/>
        <w:ind w:firstLine="560" w:firstLineChars="200"/>
        <w:rPr>
          <w:rFonts w:ascii="宋体" w:hAnsi="宋体" w:eastAsia="宋体" w:cs="方正仿宋简体"/>
          <w:sz w:val="28"/>
          <w:szCs w:val="28"/>
        </w:rPr>
      </w:pPr>
      <w:r>
        <w:rPr>
          <w:rFonts w:hint="eastAsia" w:ascii="宋体" w:hAnsi="宋体" w:eastAsia="宋体" w:cs="方正仿宋简体"/>
          <w:sz w:val="28"/>
          <w:szCs w:val="28"/>
        </w:rPr>
        <w:t>项目性质：农业行业标准制定；</w:t>
      </w:r>
    </w:p>
    <w:p>
      <w:pPr>
        <w:snapToGrid w:val="0"/>
        <w:spacing w:line="360" w:lineRule="auto"/>
        <w:ind w:firstLine="560" w:firstLineChars="200"/>
        <w:rPr>
          <w:rFonts w:ascii="Times New Roman" w:hAnsi="Times New Roman" w:cs="Times New Roman"/>
          <w:sz w:val="28"/>
          <w:szCs w:val="28"/>
          <w:highlight w:val="yellow"/>
        </w:rPr>
      </w:pPr>
      <w:r>
        <w:rPr>
          <w:rFonts w:hint="eastAsia" w:ascii="宋体" w:hAnsi="宋体" w:eastAsia="宋体" w:cs="方正仿宋简体"/>
          <w:sz w:val="28"/>
          <w:szCs w:val="28"/>
        </w:rPr>
        <w:t>项目计划要求的起止时间：2023年3月-2023年12月。</w:t>
      </w:r>
    </w:p>
    <w:p>
      <w:pPr>
        <w:snapToGrid w:val="0"/>
        <w:spacing w:line="360" w:lineRule="auto"/>
        <w:ind w:firstLine="562" w:firstLineChars="200"/>
        <w:rPr>
          <w:rFonts w:ascii="楷体" w:hAnsi="楷体" w:eastAsia="楷体" w:cs="黑体"/>
          <w:b/>
          <w:sz w:val="28"/>
          <w:szCs w:val="28"/>
        </w:rPr>
      </w:pPr>
      <w:r>
        <w:rPr>
          <w:rFonts w:ascii="楷体" w:hAnsi="楷体" w:eastAsia="楷体" w:cs="黑体"/>
          <w:b/>
          <w:sz w:val="28"/>
          <w:szCs w:val="28"/>
        </w:rPr>
        <w:t>（二）制</w:t>
      </w:r>
      <w:r>
        <w:rPr>
          <w:rFonts w:hint="eastAsia" w:ascii="楷体" w:hAnsi="楷体" w:eastAsia="楷体" w:cs="黑体"/>
          <w:b/>
          <w:sz w:val="28"/>
          <w:szCs w:val="28"/>
        </w:rPr>
        <w:t>定</w:t>
      </w:r>
      <w:r>
        <w:rPr>
          <w:rFonts w:ascii="楷体" w:hAnsi="楷体" w:eastAsia="楷体" w:cs="黑体"/>
          <w:b/>
          <w:sz w:val="28"/>
          <w:szCs w:val="28"/>
        </w:rPr>
        <w:t>背景</w:t>
      </w:r>
    </w:p>
    <w:p>
      <w:pPr>
        <w:snapToGrid w:val="0"/>
        <w:spacing w:line="360" w:lineRule="auto"/>
        <w:ind w:firstLine="562" w:firstLineChars="200"/>
        <w:rPr>
          <w:rFonts w:ascii="宋体" w:hAnsi="宋体" w:eastAsia="宋体" w:cs="Times New Roman"/>
          <w:b/>
          <w:sz w:val="28"/>
          <w:szCs w:val="28"/>
        </w:rPr>
      </w:pPr>
      <w:r>
        <w:rPr>
          <w:rFonts w:ascii="宋体" w:hAnsi="宋体" w:eastAsia="宋体" w:cs="Times New Roman"/>
          <w:b/>
          <w:sz w:val="28"/>
          <w:szCs w:val="28"/>
        </w:rPr>
        <w:t>1.项目目的</w:t>
      </w:r>
    </w:p>
    <w:p>
      <w:pPr>
        <w:snapToGrid w:val="0"/>
        <w:spacing w:line="360" w:lineRule="auto"/>
        <w:ind w:firstLine="560" w:firstLineChars="200"/>
        <w:rPr>
          <w:rFonts w:ascii="宋体" w:hAnsi="宋体" w:eastAsia="宋体" w:cs="方正仿宋简体"/>
          <w:kern w:val="0"/>
          <w:sz w:val="28"/>
          <w:szCs w:val="28"/>
        </w:rPr>
      </w:pPr>
      <w:r>
        <w:rPr>
          <w:rFonts w:hint="eastAsia" w:ascii="Times New Roman" w:hAnsi="Times New Roman" w:cs="Times New Roman"/>
          <w:sz w:val="28"/>
          <w:szCs w:val="28"/>
        </w:rPr>
        <w:t>区块链在农业溯源领域的应用正在迅速发展，为农业生产和消费者提供更可信、高效和安全的服务。然而，仍然存在技术成本、标准制定和数据共享等方面的问题，需要进一步解决和推动。</w:t>
      </w:r>
      <w:r>
        <w:rPr>
          <w:rFonts w:hint="eastAsia" w:ascii="宋体" w:hAnsi="宋体" w:eastAsia="宋体" w:cs="方正仿宋简体"/>
          <w:kern w:val="0"/>
          <w:sz w:val="28"/>
          <w:szCs w:val="28"/>
        </w:rPr>
        <w:t>结合区块链技术目前的推广应用情况以及溯源全生命周期信息采集，为适应农业信息化标准体系的建设，制定统一的区块链溯源信息采集标准非常必要和紧迫，对后续蔬菜质量标准的管理和规范统一建设具有重要意义。</w:t>
      </w:r>
    </w:p>
    <w:p>
      <w:pPr>
        <w:snapToGrid w:val="0"/>
        <w:spacing w:line="360" w:lineRule="auto"/>
        <w:ind w:firstLine="562" w:firstLineChars="200"/>
        <w:rPr>
          <w:rFonts w:ascii="宋体" w:hAnsi="宋体" w:eastAsia="宋体" w:cs="Times New Roman"/>
          <w:b/>
          <w:sz w:val="28"/>
          <w:szCs w:val="28"/>
        </w:rPr>
      </w:pPr>
      <w:r>
        <w:rPr>
          <w:rFonts w:hint="eastAsia" w:ascii="宋体" w:hAnsi="宋体" w:eastAsia="宋体" w:cs="Times New Roman"/>
          <w:b/>
          <w:sz w:val="28"/>
          <w:szCs w:val="28"/>
        </w:rPr>
        <w:t>2</w:t>
      </w:r>
      <w:r>
        <w:rPr>
          <w:rFonts w:ascii="宋体" w:hAnsi="宋体" w:eastAsia="宋体" w:cs="Times New Roman"/>
          <w:b/>
          <w:sz w:val="28"/>
          <w:szCs w:val="28"/>
        </w:rPr>
        <w:t>.项目</w:t>
      </w:r>
      <w:r>
        <w:rPr>
          <w:rFonts w:hint="eastAsia" w:ascii="宋体" w:hAnsi="宋体" w:eastAsia="宋体" w:cs="Times New Roman"/>
          <w:b/>
          <w:sz w:val="28"/>
          <w:szCs w:val="28"/>
        </w:rPr>
        <w:t>意义</w:t>
      </w:r>
    </w:p>
    <w:p>
      <w:pPr>
        <w:snapToGrid w:val="0"/>
        <w:spacing w:line="360" w:lineRule="auto"/>
        <w:ind w:firstLine="560" w:firstLineChars="200"/>
        <w:rPr>
          <w:rFonts w:ascii="宋体" w:hAnsi="宋体" w:eastAsia="宋体" w:cs="方正仿宋简体"/>
          <w:sz w:val="28"/>
          <w:szCs w:val="28"/>
        </w:rPr>
      </w:pPr>
      <w:r>
        <w:rPr>
          <w:rFonts w:hint="eastAsia" w:ascii="宋体" w:hAnsi="宋体" w:eastAsia="宋体" w:cs="方正仿宋简体"/>
          <w:sz w:val="28"/>
          <w:szCs w:val="28"/>
        </w:rPr>
        <w:t>农业农村信息化建设已经成为农业农村现代化建设的制高点。区块链技术的集成应用在新的技术革新和产业变革中起着重要作用，一方面实现农业数据的防篡改和可溯源，提高数据的可信度和透明度，保证农业信息的真实性和可信度，通过区块链可以实现数据的公开、透明和可验证，减少信息不对称和欺诈行为。另一方面优化供应链管理，实现农产品供应链的全程追踪和溯源，记录农产品的生产、加工、运输和销售等环节的信息，提高供应链的可视化和可控性，减少信息不对称和食品安全问题，保障消费者权益。</w:t>
      </w:r>
    </w:p>
    <w:p>
      <w:pPr>
        <w:snapToGrid w:val="0"/>
        <w:spacing w:line="360" w:lineRule="auto"/>
        <w:ind w:firstLine="560" w:firstLineChars="200"/>
        <w:rPr>
          <w:rFonts w:ascii="宋体" w:hAnsi="宋体" w:eastAsia="宋体" w:cs="方正仿宋简体"/>
          <w:sz w:val="28"/>
          <w:szCs w:val="28"/>
        </w:rPr>
      </w:pPr>
      <w:r>
        <w:rPr>
          <w:rFonts w:hint="eastAsia" w:ascii="宋体" w:hAnsi="宋体" w:eastAsia="宋体" w:cs="方正仿宋简体"/>
          <w:sz w:val="28"/>
          <w:szCs w:val="28"/>
        </w:rPr>
        <w:t>2021年6月，工业和信息化部、中央网信办印发的《关于加快推动区块链技术应用和产业发展的指导意见》提出：“到2025年，区块链产业综合实力达到世界先进水平，产业初具规模。区块链应用渗透到经济社会多个领域，在产品溯源、数据流通、供应链管理等领域培育一批知名产品，形成场景化示范应用”。2021年10月，中共中央、国务院印发的《国家标准化发展纲要》提出：“建立健全土壤质量及监测评价、农业投入品质量、适度规模养殖、循环型生态农业、农产品食品安全、监测预警等绿色农业发展标准”。2022年2月，《“十四五”全国农业农村信息化发展规划》提出：“建成国家农产品质量安全追溯管理信息平台”“完善国家农产品质量安全追溯管理信息平台功能,推广应用’承诺达标合格证+追溯码’模式,努力推动实现从田间到餐桌的全程可追溯”“鼓励运用大数据、物联网、区块链等现代信息技术,探索推进‘阳光农安’,开展农产品产前产中产后全过程的质量安全控制,全面提升农产品质量安全管理水平”。2022年4月，中共中央、国务院印发的《关于加快建设全国统一大市场的意见》提出：“强化标准验证、实施、监督，健全现代流通、大数据、人工智能、区块链、第五代移动通信（5G）、物联网、储能等领域标准体系”。2022年8月，中央网信办、农业农村部等四部委印发的《数字乡村标准体系建设指南》在“农业信息化标准”的“农业经营信息化标准”部分明确包含“农产品质量安全追溯信息化标准”，信息技术在农产品质量安全追溯管理平台建立和质量安全管理实施中的应用，包括农产品质量安全追溯管理平台建设，可追溯食用农产品分类目录、编码标识、操作规范、数据格式、接口规范、信息管理，农产品全过程追溯系统评价等标准。</w:t>
      </w:r>
    </w:p>
    <w:p>
      <w:pPr>
        <w:snapToGrid w:val="0"/>
        <w:spacing w:line="360" w:lineRule="auto"/>
        <w:ind w:firstLine="560" w:firstLineChars="200"/>
        <w:rPr>
          <w:rFonts w:ascii="宋体" w:hAnsi="宋体" w:eastAsia="宋体" w:cs="方正仿宋简体"/>
          <w:sz w:val="28"/>
          <w:szCs w:val="28"/>
        </w:rPr>
      </w:pPr>
      <w:r>
        <w:rPr>
          <w:rFonts w:hint="eastAsia" w:ascii="宋体" w:hAnsi="宋体" w:eastAsia="宋体" w:cs="方正仿宋简体"/>
          <w:sz w:val="28"/>
          <w:szCs w:val="28"/>
        </w:rPr>
        <w:t>而在区块链的应用建设过程中，首先要解决的就是上链数据的标准问题，只有统一遵循同一标准，才能有效发挥区块链的追溯技术能力，使农产品质量、品牌追溯更加规范。本标准研制目的是为区块链在农业溯源领域的应用提供统一的数据采集标准，这也是区块链在农业信息化建设中的重要基础性工作，是实现农业质量安全溯源的基本工作前提。</w:t>
      </w:r>
    </w:p>
    <w:p>
      <w:pPr>
        <w:snapToGrid w:val="0"/>
        <w:spacing w:line="360" w:lineRule="auto"/>
        <w:ind w:firstLine="562" w:firstLineChars="200"/>
        <w:rPr>
          <w:rFonts w:ascii="楷体" w:hAnsi="楷体" w:eastAsia="楷体" w:cs="黑体"/>
          <w:b/>
          <w:sz w:val="28"/>
          <w:szCs w:val="28"/>
        </w:rPr>
      </w:pPr>
      <w:r>
        <w:rPr>
          <w:rFonts w:ascii="楷体" w:hAnsi="楷体" w:eastAsia="楷体" w:cs="黑体"/>
          <w:b/>
          <w:sz w:val="28"/>
          <w:szCs w:val="28"/>
        </w:rPr>
        <w:t>（三）主要工作过程</w:t>
      </w:r>
    </w:p>
    <w:p>
      <w:pPr>
        <w:snapToGrid w:val="0"/>
        <w:spacing w:line="360" w:lineRule="auto"/>
        <w:ind w:firstLine="560" w:firstLineChars="200"/>
        <w:rPr>
          <w:rFonts w:ascii="Times New Roman" w:hAnsi="Times New Roman" w:cs="Times New Roman"/>
          <w:sz w:val="28"/>
          <w:szCs w:val="28"/>
          <w:highlight w:val="yellow"/>
        </w:rPr>
      </w:pPr>
      <w:r>
        <w:rPr>
          <w:rFonts w:hint="eastAsia" w:ascii="Times New Roman" w:hAnsi="Times New Roman" w:cs="Times New Roman"/>
          <w:sz w:val="28"/>
          <w:szCs w:val="28"/>
        </w:rPr>
        <w:t>本标准由农业农村部农业信息化标准化技术委员会提出并归口。由中国电信集团有限公司、农业农村部信息中心、潍坊市农业农村局、天翼电子商务有限公司起草。</w:t>
      </w:r>
    </w:p>
    <w:p>
      <w:pPr>
        <w:snapToGrid w:val="0"/>
        <w:spacing w:line="360" w:lineRule="auto"/>
        <w:ind w:firstLine="562" w:firstLineChars="200"/>
        <w:rPr>
          <w:rFonts w:ascii="宋体" w:hAnsi="宋体" w:eastAsia="宋体" w:cs="Times New Roman"/>
          <w:b/>
          <w:sz w:val="28"/>
          <w:szCs w:val="28"/>
        </w:rPr>
      </w:pPr>
      <w:r>
        <w:rPr>
          <w:rFonts w:hint="eastAsia" w:ascii="宋体" w:hAnsi="宋体" w:eastAsia="宋体" w:cs="Times New Roman"/>
          <w:b/>
          <w:sz w:val="28"/>
          <w:szCs w:val="28"/>
        </w:rPr>
        <w:t>1.预研究阶段</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项目任务下达后，中国电信集团有限公司农业农村行业事业部成立了标准起草工作组，并召开了标准起草工作会议，进行了任务分工。</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为保证标准的先进性和可操作性，2023年1</w:t>
      </w:r>
      <w:r>
        <w:rPr>
          <w:rFonts w:hint="eastAsia" w:cs="方正仿宋简体" w:asciiTheme="minorEastAsia" w:hAnsiTheme="minorEastAsia"/>
          <w:kern w:val="0"/>
          <w:sz w:val="28"/>
          <w:szCs w:val="28"/>
        </w:rPr>
        <w:t>～</w:t>
      </w:r>
      <w:r>
        <w:rPr>
          <w:rFonts w:hint="eastAsia" w:cs="Times New Roman" w:asciiTheme="minorEastAsia" w:hAnsiTheme="minorEastAsia"/>
          <w:sz w:val="28"/>
          <w:szCs w:val="28"/>
        </w:rPr>
        <w:t>2月，起草工作组经过内部充分讨论和研究，初步确定了与相关标准协调一致、体现先进性和可操作性等原则，并制定了编制计划。</w:t>
      </w:r>
    </w:p>
    <w:p>
      <w:pPr>
        <w:widowControl/>
        <w:autoSpaceDE w:val="0"/>
        <w:autoSpaceDN w:val="0"/>
        <w:snapToGrid w:val="0"/>
        <w:spacing w:line="360" w:lineRule="auto"/>
        <w:ind w:firstLine="560" w:firstLineChars="200"/>
        <w:rPr>
          <w:rFonts w:cs="Times New Roman" w:asciiTheme="minorEastAsia" w:hAnsiTheme="minorEastAsia"/>
          <w:sz w:val="28"/>
          <w:szCs w:val="28"/>
        </w:rPr>
      </w:pPr>
      <w:r>
        <w:rPr>
          <w:rFonts w:hint="eastAsia" w:cs="方正仿宋简体" w:asciiTheme="minorEastAsia" w:hAnsiTheme="minorEastAsia"/>
          <w:kern w:val="0"/>
          <w:sz w:val="28"/>
          <w:szCs w:val="28"/>
        </w:rPr>
        <w:t>标准编制过程中，起草工作组针对蔬菜溯源信息采集和区块链存证信息采集所涉及的相关文献、标准和国家政策等资料进行详细的调研，查阅相关文献30余篇，涉及农产品溯源、区块链溯源应用、农产品供应链信息管理等；查阅国标、行业标准和地方标准30个，涉及蔬菜生产加工规范、包装流通、农产品溯源信息采集、区块链存证等；以及大量涉及农产品溯源的相关政策法规，并于2023年3月，咨询了种植、质量标准、农业信息等领域和相关管理部门专家意见。</w:t>
      </w:r>
    </w:p>
    <w:p>
      <w:pPr>
        <w:snapToGrid w:val="0"/>
        <w:spacing w:line="360" w:lineRule="auto"/>
        <w:ind w:firstLine="562" w:firstLineChars="200"/>
        <w:rPr>
          <w:rFonts w:ascii="宋体" w:hAnsi="宋体" w:eastAsia="宋体" w:cs="Times New Roman"/>
          <w:b/>
          <w:sz w:val="28"/>
          <w:szCs w:val="28"/>
        </w:rPr>
      </w:pPr>
      <w:r>
        <w:rPr>
          <w:rFonts w:ascii="宋体" w:hAnsi="宋体" w:eastAsia="宋体" w:cs="Times New Roman"/>
          <w:b/>
          <w:sz w:val="28"/>
          <w:szCs w:val="28"/>
        </w:rPr>
        <w:t>2.起草</w:t>
      </w:r>
      <w:r>
        <w:rPr>
          <w:rFonts w:hint="eastAsia" w:ascii="宋体" w:hAnsi="宋体" w:eastAsia="宋体" w:cs="Times New Roman"/>
          <w:b/>
          <w:sz w:val="28"/>
          <w:szCs w:val="28"/>
        </w:rPr>
        <w:t>编制</w:t>
      </w:r>
      <w:r>
        <w:rPr>
          <w:rFonts w:ascii="宋体" w:hAnsi="宋体" w:eastAsia="宋体" w:cs="Times New Roman"/>
          <w:b/>
          <w:sz w:val="28"/>
          <w:szCs w:val="28"/>
        </w:rPr>
        <w:t>阶段</w:t>
      </w:r>
    </w:p>
    <w:p>
      <w:pPr>
        <w:snapToGrid w:val="0"/>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（1）主要起草人及其所作工作</w:t>
      </w:r>
    </w:p>
    <w:p>
      <w:pPr>
        <w:widowControl/>
        <w:autoSpaceDE w:val="0"/>
        <w:autoSpaceDN w:val="0"/>
        <w:snapToGrid w:val="0"/>
        <w:spacing w:line="360" w:lineRule="auto"/>
        <w:ind w:firstLine="560"/>
        <w:rPr>
          <w:rFonts w:ascii="宋体" w:hAnsi="宋体" w:eastAsia="宋体" w:cs="方正仿宋简体"/>
          <w:kern w:val="0"/>
          <w:sz w:val="28"/>
          <w:szCs w:val="28"/>
        </w:rPr>
      </w:pPr>
      <w:r>
        <w:rPr>
          <w:rFonts w:hint="eastAsia" w:ascii="Times New Roman" w:hAnsi="Times New Roman" w:cs="Times New Roman"/>
          <w:sz w:val="28"/>
          <w:szCs w:val="28"/>
        </w:rPr>
        <w:t>本标准由农业农村部农业信息化标准化技术委员会提出并归口。由</w:t>
      </w:r>
      <w:r>
        <w:rPr>
          <w:rFonts w:hint="eastAsia" w:ascii="宋体" w:hAnsi="宋体" w:eastAsia="宋体" w:cs="方正仿宋简体"/>
          <w:kern w:val="0"/>
          <w:sz w:val="28"/>
          <w:szCs w:val="28"/>
        </w:rPr>
        <w:t>中国电信集团有限公司、农业农村部信息中心、潍坊市农业农村局、天翼电子商务有限公司等单位起草。起草人及其所做的工作如下表</w:t>
      </w:r>
      <w:r>
        <w:rPr>
          <w:rFonts w:ascii="宋体" w:hAnsi="宋体" w:eastAsia="宋体" w:cs="方正仿宋简体"/>
          <w:kern w:val="0"/>
          <w:sz w:val="28"/>
          <w:szCs w:val="28"/>
        </w:rPr>
        <w:t>1</w:t>
      </w:r>
      <w:r>
        <w:rPr>
          <w:rFonts w:hint="eastAsia" w:ascii="宋体" w:hAnsi="宋体" w:eastAsia="宋体" w:cs="方正仿宋简体"/>
          <w:kern w:val="0"/>
          <w:sz w:val="28"/>
          <w:szCs w:val="28"/>
        </w:rPr>
        <w:t>：</w:t>
      </w:r>
    </w:p>
    <w:p>
      <w:pPr>
        <w:widowControl/>
        <w:autoSpaceDE w:val="0"/>
        <w:autoSpaceDN w:val="0"/>
        <w:spacing w:line="560" w:lineRule="exact"/>
        <w:ind w:firstLine="560"/>
        <w:jc w:val="center"/>
        <w:rPr>
          <w:rFonts w:ascii="宋体" w:hAnsi="宋体" w:eastAsia="宋体" w:cs="方正仿宋简体"/>
          <w:kern w:val="0"/>
          <w:sz w:val="28"/>
          <w:szCs w:val="28"/>
        </w:rPr>
      </w:pPr>
      <w:r>
        <w:rPr>
          <w:rFonts w:hint="eastAsia" w:ascii="宋体" w:hAnsi="宋体" w:eastAsia="宋体" w:cs="方正仿宋简体"/>
          <w:kern w:val="0"/>
          <w:sz w:val="28"/>
          <w:szCs w:val="28"/>
        </w:rPr>
        <w:t>表</w:t>
      </w:r>
      <w:r>
        <w:rPr>
          <w:rFonts w:ascii="宋体" w:hAnsi="宋体" w:eastAsia="宋体" w:cs="方正仿宋简体"/>
          <w:kern w:val="0"/>
          <w:sz w:val="28"/>
          <w:szCs w:val="28"/>
        </w:rPr>
        <w:t>1 《</w:t>
      </w:r>
      <w:r>
        <w:rPr>
          <w:rFonts w:hint="eastAsia" w:ascii="宋体" w:hAnsi="宋体" w:eastAsia="宋体" w:cs="方正仿宋简体"/>
          <w:sz w:val="28"/>
          <w:szCs w:val="28"/>
        </w:rPr>
        <w:t>区块链+蔬菜质量安全溯源信息采集规范</w:t>
      </w:r>
      <w:r>
        <w:rPr>
          <w:rFonts w:ascii="宋体" w:hAnsi="宋体" w:eastAsia="宋体" w:cs="方正仿宋简体"/>
          <w:kern w:val="0"/>
          <w:sz w:val="28"/>
          <w:szCs w:val="28"/>
        </w:rPr>
        <w:t>》</w:t>
      </w:r>
    </w:p>
    <w:p>
      <w:pPr>
        <w:widowControl/>
        <w:autoSpaceDE w:val="0"/>
        <w:autoSpaceDN w:val="0"/>
        <w:spacing w:line="560" w:lineRule="exact"/>
        <w:ind w:firstLine="560"/>
        <w:jc w:val="center"/>
        <w:rPr>
          <w:rFonts w:ascii="宋体" w:hAnsi="宋体" w:eastAsia="宋体" w:cs="方正仿宋简体"/>
          <w:kern w:val="0"/>
          <w:sz w:val="28"/>
          <w:szCs w:val="28"/>
        </w:rPr>
      </w:pPr>
      <w:r>
        <w:rPr>
          <w:rFonts w:hint="eastAsia" w:ascii="宋体" w:hAnsi="宋体" w:eastAsia="宋体" w:cs="方正仿宋简体"/>
          <w:kern w:val="0"/>
          <w:sz w:val="28"/>
          <w:szCs w:val="28"/>
        </w:rPr>
        <w:t>主要起草单位及人员一览表</w:t>
      </w:r>
    </w:p>
    <w:tbl>
      <w:tblPr>
        <w:tblStyle w:val="13"/>
        <w:tblW w:w="8791" w:type="dxa"/>
        <w:jc w:val="center"/>
        <w:tblLayout w:type="fixed"/>
        <w:tblCellMar>
          <w:top w:w="0" w:type="dxa"/>
          <w:left w:w="108" w:type="dxa"/>
          <w:bottom w:w="0" w:type="dxa"/>
          <w:right w:w="108" w:type="dxa"/>
        </w:tblCellMar>
      </w:tblPr>
      <w:tblGrid>
        <w:gridCol w:w="741"/>
        <w:gridCol w:w="1960"/>
        <w:gridCol w:w="1610"/>
        <w:gridCol w:w="1250"/>
        <w:gridCol w:w="3230"/>
      </w:tblGrid>
      <w:tr>
        <w:tblPrEx>
          <w:tblCellMar>
            <w:top w:w="0" w:type="dxa"/>
            <w:left w:w="108" w:type="dxa"/>
            <w:bottom w:w="0" w:type="dxa"/>
            <w:right w:w="108" w:type="dxa"/>
          </w:tblCellMar>
        </w:tblPrEx>
        <w:trPr>
          <w:trHeight w:val="540" w:hRule="atLeast"/>
          <w:tblHeader/>
          <w:jc w:val="center"/>
        </w:trPr>
        <w:tc>
          <w:tcPr>
            <w:tcW w:w="741" w:type="dxa"/>
            <w:tcBorders>
              <w:top w:val="single" w:color="000000" w:sz="8" w:space="0"/>
              <w:left w:val="single" w:color="000000" w:sz="8" w:space="0"/>
              <w:bottom w:val="single" w:color="000000" w:sz="8" w:space="0"/>
              <w:right w:val="single" w:color="000000" w:sz="8" w:space="0"/>
            </w:tcBorders>
            <w:shd w:val="clear" w:color="auto" w:fill="D8D8D8" w:themeFill="background1" w:themeFillShade="D9"/>
            <w:vAlign w:val="center"/>
          </w:tcPr>
          <w:p>
            <w:pPr>
              <w:widowControl/>
              <w:adjustRightInd w:val="0"/>
              <w:snapToGrid w:val="0"/>
              <w:spacing w:line="240" w:lineRule="exact"/>
              <w:jc w:val="center"/>
              <w:rPr>
                <w:rFonts w:ascii="Times New Roman" w:hAnsi="Times New Roman" w:cs="Times New Roman"/>
                <w:b/>
                <w:kern w:val="0"/>
                <w:szCs w:val="21"/>
              </w:rPr>
            </w:pPr>
            <w:r>
              <w:rPr>
                <w:rFonts w:hint="eastAsia" w:ascii="Times New Roman" w:hAnsi="Times New Roman" w:cs="Times New Roman"/>
                <w:b/>
                <w:kern w:val="0"/>
                <w:szCs w:val="21"/>
              </w:rPr>
              <w:t>序号</w:t>
            </w:r>
          </w:p>
        </w:tc>
        <w:tc>
          <w:tcPr>
            <w:tcW w:w="1960" w:type="dxa"/>
            <w:tcBorders>
              <w:top w:val="single" w:color="000000" w:sz="8" w:space="0"/>
              <w:left w:val="nil"/>
              <w:bottom w:val="single" w:color="000000" w:sz="8" w:space="0"/>
              <w:right w:val="single" w:color="000000" w:sz="8" w:space="0"/>
            </w:tcBorders>
            <w:shd w:val="clear" w:color="auto" w:fill="D8D8D8" w:themeFill="background1" w:themeFillShade="D9"/>
            <w:vAlign w:val="center"/>
          </w:tcPr>
          <w:p>
            <w:pPr>
              <w:widowControl/>
              <w:adjustRightInd w:val="0"/>
              <w:snapToGrid w:val="0"/>
              <w:spacing w:line="240" w:lineRule="exact"/>
              <w:jc w:val="center"/>
              <w:rPr>
                <w:rFonts w:ascii="Times New Roman" w:hAnsi="Times New Roman" w:cs="Times New Roman"/>
                <w:b/>
                <w:kern w:val="0"/>
                <w:szCs w:val="21"/>
              </w:rPr>
            </w:pPr>
            <w:r>
              <w:rPr>
                <w:rFonts w:ascii="Times New Roman" w:hAnsi="Times New Roman" w:cs="Times New Roman"/>
                <w:b/>
                <w:kern w:val="0"/>
                <w:szCs w:val="21"/>
              </w:rPr>
              <w:t>主要起草单位</w:t>
            </w:r>
          </w:p>
        </w:tc>
        <w:tc>
          <w:tcPr>
            <w:tcW w:w="1610" w:type="dxa"/>
            <w:tcBorders>
              <w:top w:val="single" w:color="000000" w:sz="8" w:space="0"/>
              <w:left w:val="nil"/>
              <w:bottom w:val="single" w:color="000000" w:sz="8" w:space="0"/>
              <w:right w:val="single" w:color="000000" w:sz="8" w:space="0"/>
            </w:tcBorders>
            <w:shd w:val="clear" w:color="auto" w:fill="D8D8D8" w:themeFill="background1" w:themeFillShade="D9"/>
            <w:vAlign w:val="center"/>
          </w:tcPr>
          <w:p>
            <w:pPr>
              <w:widowControl/>
              <w:adjustRightInd w:val="0"/>
              <w:snapToGrid w:val="0"/>
              <w:spacing w:line="240" w:lineRule="exact"/>
              <w:jc w:val="center"/>
              <w:rPr>
                <w:rFonts w:ascii="Times New Roman" w:hAnsi="Times New Roman" w:cs="Times New Roman"/>
                <w:b/>
                <w:kern w:val="0"/>
                <w:szCs w:val="21"/>
              </w:rPr>
            </w:pPr>
            <w:r>
              <w:rPr>
                <w:rFonts w:ascii="Times New Roman" w:hAnsi="Times New Roman" w:cs="Times New Roman"/>
                <w:b/>
                <w:kern w:val="0"/>
                <w:szCs w:val="21"/>
              </w:rPr>
              <w:t>主要起草人员</w:t>
            </w:r>
          </w:p>
        </w:tc>
        <w:tc>
          <w:tcPr>
            <w:tcW w:w="1250" w:type="dxa"/>
            <w:tcBorders>
              <w:top w:val="single" w:color="000000" w:sz="8" w:space="0"/>
              <w:left w:val="nil"/>
              <w:bottom w:val="single" w:color="000000" w:sz="8" w:space="0"/>
              <w:right w:val="single" w:color="000000" w:sz="8" w:space="0"/>
            </w:tcBorders>
            <w:shd w:val="clear" w:color="auto" w:fill="D8D8D8" w:themeFill="background1" w:themeFillShade="D9"/>
            <w:vAlign w:val="center"/>
          </w:tcPr>
          <w:p>
            <w:pPr>
              <w:widowControl/>
              <w:adjustRightInd w:val="0"/>
              <w:snapToGrid w:val="0"/>
              <w:spacing w:line="240" w:lineRule="exact"/>
              <w:jc w:val="center"/>
              <w:rPr>
                <w:rFonts w:ascii="Times New Roman" w:hAnsi="Times New Roman" w:cs="Times New Roman"/>
                <w:b/>
                <w:kern w:val="0"/>
                <w:szCs w:val="21"/>
              </w:rPr>
            </w:pPr>
            <w:r>
              <w:rPr>
                <w:rFonts w:ascii="Times New Roman" w:hAnsi="Times New Roman" w:cs="Times New Roman"/>
                <w:b/>
                <w:kern w:val="0"/>
                <w:szCs w:val="21"/>
              </w:rPr>
              <w:t>职称</w:t>
            </w:r>
          </w:p>
        </w:tc>
        <w:tc>
          <w:tcPr>
            <w:tcW w:w="3230" w:type="dxa"/>
            <w:tcBorders>
              <w:top w:val="single" w:color="000000" w:sz="8" w:space="0"/>
              <w:left w:val="nil"/>
              <w:bottom w:val="single" w:color="000000" w:sz="8" w:space="0"/>
              <w:right w:val="single" w:color="000000" w:sz="8" w:space="0"/>
            </w:tcBorders>
            <w:shd w:val="clear" w:color="auto" w:fill="D8D8D8" w:themeFill="background1" w:themeFillShade="D9"/>
            <w:vAlign w:val="center"/>
          </w:tcPr>
          <w:p>
            <w:pPr>
              <w:widowControl/>
              <w:adjustRightInd w:val="0"/>
              <w:snapToGrid w:val="0"/>
              <w:spacing w:line="240" w:lineRule="exact"/>
              <w:jc w:val="center"/>
              <w:rPr>
                <w:rFonts w:ascii="Times New Roman" w:hAnsi="Times New Roman" w:cs="Times New Roman"/>
                <w:b/>
                <w:kern w:val="0"/>
                <w:szCs w:val="21"/>
              </w:rPr>
            </w:pPr>
            <w:r>
              <w:rPr>
                <w:rFonts w:ascii="Times New Roman" w:hAnsi="Times New Roman" w:cs="Times New Roman"/>
                <w:b/>
                <w:kern w:val="0"/>
                <w:szCs w:val="21"/>
              </w:rPr>
              <w:t>任务分工</w:t>
            </w:r>
          </w:p>
        </w:tc>
      </w:tr>
      <w:tr>
        <w:tblPrEx>
          <w:tblCellMar>
            <w:top w:w="0" w:type="dxa"/>
            <w:left w:w="108" w:type="dxa"/>
            <w:bottom w:w="0" w:type="dxa"/>
            <w:right w:w="108" w:type="dxa"/>
          </w:tblCellMar>
        </w:tblPrEx>
        <w:trPr>
          <w:trHeight w:val="8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p>
        </w:tc>
        <w:tc>
          <w:tcPr>
            <w:tcW w:w="196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农业农村部信息中心</w:t>
            </w:r>
          </w:p>
        </w:tc>
        <w:tc>
          <w:tcPr>
            <w:tcW w:w="161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王小兵</w:t>
            </w:r>
          </w:p>
        </w:tc>
        <w:tc>
          <w:tcPr>
            <w:tcW w:w="125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ascii="Times New Roman" w:hAnsi="Times New Roman" w:cs="Times New Roman"/>
                <w:kern w:val="0"/>
                <w:szCs w:val="21"/>
              </w:rPr>
              <w:t>全面负责标准总体框架、</w:t>
            </w:r>
            <w:r>
              <w:rPr>
                <w:rFonts w:hint="eastAsia" w:ascii="Times New Roman" w:hAnsi="Times New Roman" w:cs="Times New Roman"/>
                <w:kern w:val="0"/>
                <w:szCs w:val="21"/>
              </w:rPr>
              <w:t>主要</w:t>
            </w:r>
            <w:r>
              <w:rPr>
                <w:rFonts w:ascii="Times New Roman" w:hAnsi="Times New Roman" w:cs="Times New Roman"/>
                <w:kern w:val="0"/>
                <w:szCs w:val="21"/>
              </w:rPr>
              <w:t>内容的</w:t>
            </w:r>
            <w:r>
              <w:rPr>
                <w:rFonts w:hint="eastAsia" w:ascii="Times New Roman" w:hAnsi="Times New Roman" w:cs="Times New Roman"/>
                <w:kern w:val="0"/>
                <w:szCs w:val="21"/>
              </w:rPr>
              <w:t>确定</w:t>
            </w:r>
            <w:r>
              <w:rPr>
                <w:rFonts w:ascii="Times New Roman" w:hAnsi="Times New Roman" w:cs="Times New Roman"/>
                <w:kern w:val="0"/>
                <w:szCs w:val="21"/>
              </w:rPr>
              <w:t>，标准文稿的</w:t>
            </w:r>
            <w:r>
              <w:rPr>
                <w:rFonts w:hint="eastAsia" w:ascii="Times New Roman" w:hAnsi="Times New Roman" w:cs="Times New Roman"/>
                <w:kern w:val="0"/>
                <w:szCs w:val="21"/>
              </w:rPr>
              <w:t>统稿</w:t>
            </w:r>
            <w:r>
              <w:rPr>
                <w:rFonts w:ascii="Times New Roman" w:hAnsi="Times New Roman" w:cs="Times New Roman"/>
                <w:kern w:val="0"/>
                <w:szCs w:val="21"/>
              </w:rPr>
              <w:t>。</w:t>
            </w:r>
          </w:p>
        </w:tc>
      </w:tr>
      <w:tr>
        <w:tblPrEx>
          <w:tblCellMar>
            <w:top w:w="0" w:type="dxa"/>
            <w:left w:w="108" w:type="dxa"/>
            <w:bottom w:w="0" w:type="dxa"/>
            <w:right w:w="108" w:type="dxa"/>
          </w:tblCellMar>
        </w:tblPrEx>
        <w:trPr>
          <w:trHeight w:val="87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96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中国电信集团有限公司</w:t>
            </w:r>
          </w:p>
        </w:tc>
        <w:tc>
          <w:tcPr>
            <w:tcW w:w="161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白云东</w:t>
            </w:r>
          </w:p>
        </w:tc>
        <w:tc>
          <w:tcPr>
            <w:tcW w:w="125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ascii="Times New Roman" w:hAnsi="Times New Roman" w:cs="Times New Roman"/>
                <w:kern w:val="0"/>
                <w:szCs w:val="21"/>
              </w:rPr>
              <w:t>负责项目的协调管理工作，参与</w:t>
            </w:r>
            <w:r>
              <w:rPr>
                <w:rFonts w:hint="eastAsia" w:ascii="Times New Roman" w:hAnsi="Times New Roman" w:cs="Times New Roman"/>
                <w:kern w:val="0"/>
                <w:szCs w:val="21"/>
              </w:rPr>
              <w:t>溯源采集规范的研究编制，负责标准的应用测试。</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cs="Times New Roman"/>
                <w:kern w:val="0"/>
                <w:szCs w:val="21"/>
              </w:rPr>
              <w:t>3</w:t>
            </w:r>
          </w:p>
        </w:tc>
        <w:tc>
          <w:tcPr>
            <w:tcW w:w="196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eastAsia="宋体" w:cs="Times New Roman"/>
                <w:kern w:val="0"/>
                <w:szCs w:val="21"/>
              </w:rPr>
              <w:t>农业农村部信息中心</w:t>
            </w:r>
          </w:p>
        </w:tc>
        <w:tc>
          <w:tcPr>
            <w:tcW w:w="161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cs="Times New Roman"/>
                <w:kern w:val="0"/>
                <w:szCs w:val="21"/>
              </w:rPr>
              <w:t>张游</w:t>
            </w:r>
          </w:p>
        </w:tc>
        <w:tc>
          <w:tcPr>
            <w:tcW w:w="125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ascii="Times New Roman" w:hAnsi="Times New Roman" w:cs="Times New Roman"/>
              </w:rPr>
              <w:t>参与标准</w:t>
            </w:r>
            <w:r>
              <w:rPr>
                <w:rFonts w:hint="eastAsia" w:ascii="Times New Roman" w:hAnsi="Times New Roman" w:cs="Times New Roman"/>
              </w:rPr>
              <w:t>的调研分析，</w:t>
            </w:r>
            <w:r>
              <w:rPr>
                <w:rFonts w:hint="eastAsia" w:ascii="Times New Roman" w:hAnsi="Times New Roman" w:cs="Times New Roman"/>
                <w:kern w:val="0"/>
                <w:szCs w:val="21"/>
              </w:rPr>
              <w:t>溯源采集规范</w:t>
            </w:r>
            <w:r>
              <w:rPr>
                <w:rFonts w:hint="eastAsia" w:ascii="Times New Roman" w:hAnsi="Times New Roman" w:cs="Times New Roman"/>
              </w:rPr>
              <w:t>研究编制等</w:t>
            </w:r>
            <w:r>
              <w:rPr>
                <w:rFonts w:ascii="Times New Roman" w:hAnsi="Times New Roman" w:cs="Times New Roman"/>
              </w:rPr>
              <w:t>。</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4</w:t>
            </w:r>
          </w:p>
        </w:tc>
        <w:tc>
          <w:tcPr>
            <w:tcW w:w="196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农业农村部信息中心</w:t>
            </w:r>
          </w:p>
        </w:tc>
        <w:tc>
          <w:tcPr>
            <w:tcW w:w="161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侯仰海</w:t>
            </w:r>
          </w:p>
        </w:tc>
        <w:tc>
          <w:tcPr>
            <w:tcW w:w="125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ascii="Times New Roman" w:hAnsi="Times New Roman" w:cs="Times New Roman"/>
                <w:kern w:val="0"/>
                <w:szCs w:val="21"/>
              </w:rPr>
              <w:t>参与</w:t>
            </w:r>
            <w:r>
              <w:rPr>
                <w:rFonts w:hint="eastAsia" w:ascii="Times New Roman" w:hAnsi="Times New Roman" w:cs="Times New Roman"/>
                <w:kern w:val="0"/>
                <w:szCs w:val="21"/>
              </w:rPr>
              <w:t>资料收集与调研分析，溯源采集规范的研究编制，专家意见处理等。</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5</w:t>
            </w:r>
          </w:p>
        </w:tc>
        <w:tc>
          <w:tcPr>
            <w:tcW w:w="196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中国电信集团有限公司</w:t>
            </w:r>
          </w:p>
        </w:tc>
        <w:tc>
          <w:tcPr>
            <w:tcW w:w="161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杨毅</w:t>
            </w:r>
          </w:p>
        </w:tc>
        <w:tc>
          <w:tcPr>
            <w:tcW w:w="125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ascii="Times New Roman" w:hAnsi="Times New Roman" w:cs="Times New Roman"/>
                <w:kern w:val="0"/>
                <w:szCs w:val="21"/>
              </w:rPr>
              <w:t>参与</w:t>
            </w:r>
            <w:r>
              <w:rPr>
                <w:rFonts w:hint="eastAsia" w:ascii="Times New Roman" w:hAnsi="Times New Roman" w:cs="Times New Roman"/>
                <w:kern w:val="0"/>
                <w:szCs w:val="21"/>
              </w:rPr>
              <w:t>资料收集与调研分析，溯源采集规范的研究编制，专家意见处理等。</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6</w:t>
            </w:r>
          </w:p>
        </w:tc>
        <w:tc>
          <w:tcPr>
            <w:tcW w:w="196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中国电信集团有限公司</w:t>
            </w:r>
          </w:p>
        </w:tc>
        <w:tc>
          <w:tcPr>
            <w:tcW w:w="161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赵宇</w:t>
            </w:r>
          </w:p>
        </w:tc>
        <w:tc>
          <w:tcPr>
            <w:tcW w:w="125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ascii="Times New Roman" w:hAnsi="Times New Roman" w:cs="Times New Roman"/>
                <w:kern w:val="0"/>
                <w:szCs w:val="21"/>
              </w:rPr>
              <w:t>参与</w:t>
            </w:r>
            <w:r>
              <w:rPr>
                <w:rFonts w:hint="eastAsia" w:ascii="Times New Roman" w:hAnsi="Times New Roman" w:cs="Times New Roman"/>
                <w:kern w:val="0"/>
                <w:szCs w:val="21"/>
              </w:rPr>
              <w:t>资料收集与调研分析，溯源采集规范的研究编制，专家意见处理等。</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ascii="Times New Roman" w:hAnsi="Times New Roman" w:cs="Times New Roman"/>
                <w:kern w:val="0"/>
                <w:szCs w:val="21"/>
              </w:rPr>
              <w:t>7</w:t>
            </w:r>
          </w:p>
        </w:tc>
        <w:tc>
          <w:tcPr>
            <w:tcW w:w="196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eastAsia="宋体" w:cs="Times New Roman"/>
                <w:kern w:val="0"/>
                <w:szCs w:val="21"/>
              </w:rPr>
              <w:t>农业农村部信息中心</w:t>
            </w:r>
          </w:p>
        </w:tc>
        <w:tc>
          <w:tcPr>
            <w:tcW w:w="161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cs="Times New Roman"/>
                <w:kern w:val="0"/>
                <w:szCs w:val="21"/>
              </w:rPr>
              <w:t>孙光荣</w:t>
            </w:r>
          </w:p>
        </w:tc>
        <w:tc>
          <w:tcPr>
            <w:tcW w:w="125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cs="Times New Roman"/>
                <w:kern w:val="0"/>
                <w:szCs w:val="21"/>
              </w:rPr>
              <w:t>参与标准框架研讨，以及溯源采集规范的研究编制。</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ascii="Times New Roman" w:hAnsi="Times New Roman" w:cs="Times New Roman"/>
                <w:kern w:val="0"/>
                <w:szCs w:val="21"/>
              </w:rPr>
              <w:t>8</w:t>
            </w:r>
          </w:p>
        </w:tc>
        <w:tc>
          <w:tcPr>
            <w:tcW w:w="196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eastAsia="宋体" w:cs="Times New Roman"/>
                <w:kern w:val="0"/>
                <w:szCs w:val="21"/>
              </w:rPr>
              <w:t>农业农村部信息中心</w:t>
            </w:r>
          </w:p>
        </w:tc>
        <w:tc>
          <w:tcPr>
            <w:tcW w:w="161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cs="Times New Roman"/>
                <w:kern w:val="0"/>
                <w:szCs w:val="21"/>
              </w:rPr>
              <w:t>曹敏</w:t>
            </w:r>
          </w:p>
        </w:tc>
        <w:tc>
          <w:tcPr>
            <w:tcW w:w="125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cs="Times New Roman"/>
                <w:kern w:val="0"/>
                <w:szCs w:val="21"/>
              </w:rPr>
              <w:t>参与标准框架研讨，以及溯源采集规范的研究编制。</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ascii="Times New Roman" w:hAnsi="Times New Roman" w:cs="Times New Roman"/>
                <w:kern w:val="0"/>
                <w:szCs w:val="21"/>
              </w:rPr>
              <w:t>9</w:t>
            </w:r>
          </w:p>
        </w:tc>
        <w:tc>
          <w:tcPr>
            <w:tcW w:w="196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eastAsia="宋体" w:cs="Times New Roman"/>
                <w:kern w:val="0"/>
                <w:szCs w:val="21"/>
              </w:rPr>
              <w:t>农业农村部信息中心</w:t>
            </w:r>
          </w:p>
        </w:tc>
        <w:tc>
          <w:tcPr>
            <w:tcW w:w="161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cs="Times New Roman"/>
                <w:kern w:val="0"/>
                <w:szCs w:val="21"/>
              </w:rPr>
              <w:t>胡杰华</w:t>
            </w:r>
          </w:p>
        </w:tc>
        <w:tc>
          <w:tcPr>
            <w:tcW w:w="125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cs="Times New Roman"/>
                <w:kern w:val="0"/>
                <w:szCs w:val="21"/>
              </w:rPr>
              <w:t>参与标准框架研讨，以及溯源采集规范的研究编制。</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10</w:t>
            </w:r>
          </w:p>
        </w:tc>
        <w:tc>
          <w:tcPr>
            <w:tcW w:w="1960" w:type="dxa"/>
            <w:tcBorders>
              <w:top w:val="single" w:color="000000" w:sz="8" w:space="0"/>
              <w:left w:val="nil"/>
              <w:bottom w:val="single" w:color="000000" w:sz="8" w:space="0"/>
              <w:right w:val="single" w:color="000000" w:sz="8" w:space="0"/>
            </w:tcBorders>
            <w:vAlign w:val="center"/>
          </w:tcPr>
          <w:p>
            <w:pPr>
              <w:jc w:val="center"/>
            </w:pPr>
            <w:r>
              <w:rPr>
                <w:rFonts w:hint="eastAsia"/>
              </w:rPr>
              <w:t>天翼电子商务有限公司</w:t>
            </w:r>
          </w:p>
        </w:tc>
        <w:tc>
          <w:tcPr>
            <w:tcW w:w="1610" w:type="dxa"/>
            <w:tcBorders>
              <w:top w:val="single" w:color="000000" w:sz="8" w:space="0"/>
              <w:left w:val="nil"/>
              <w:bottom w:val="single" w:color="000000" w:sz="8" w:space="0"/>
              <w:right w:val="single" w:color="000000" w:sz="8" w:space="0"/>
            </w:tcBorders>
            <w:vAlign w:val="center"/>
          </w:tcPr>
          <w:p>
            <w:pPr>
              <w:jc w:val="center"/>
            </w:pPr>
            <w:r>
              <w:rPr>
                <w:rFonts w:hint="eastAsia"/>
              </w:rPr>
              <w:t>李真</w:t>
            </w:r>
          </w:p>
        </w:tc>
        <w:tc>
          <w:tcPr>
            <w:tcW w:w="1250" w:type="dxa"/>
            <w:tcBorders>
              <w:top w:val="single" w:color="000000" w:sz="8" w:space="0"/>
              <w:left w:val="nil"/>
              <w:bottom w:val="single" w:color="000000" w:sz="8" w:space="0"/>
              <w:right w:val="single" w:color="000000" w:sz="8" w:space="0"/>
            </w:tcBorders>
            <w:vAlign w:val="center"/>
          </w:tcPr>
          <w:p>
            <w:pPr>
              <w:jc w:val="center"/>
              <w:rPr>
                <w:rFonts w:ascii="Times New Roman" w:hAnsi="Times New Roman"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jc w:val="center"/>
              <w:rPr>
                <w:rFonts w:ascii="Times New Roman" w:hAnsi="Times New Roman" w:cs="Times New Roman"/>
                <w:kern w:val="0"/>
                <w:szCs w:val="21"/>
              </w:rPr>
            </w:pPr>
            <w:r>
              <w:rPr>
                <w:rFonts w:ascii="Times New Roman" w:hAnsi="Times New Roman" w:cs="Times New Roman"/>
                <w:kern w:val="0"/>
                <w:szCs w:val="21"/>
              </w:rPr>
              <w:t>参与</w:t>
            </w:r>
            <w:r>
              <w:rPr>
                <w:rFonts w:hint="eastAsia" w:ascii="Times New Roman" w:hAnsi="Times New Roman" w:cs="Times New Roman"/>
                <w:kern w:val="0"/>
                <w:szCs w:val="21"/>
              </w:rPr>
              <w:t>资料收集与调研分析，溯源采集规范的研究编制，专家意见处理等。</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11</w:t>
            </w:r>
          </w:p>
        </w:tc>
        <w:tc>
          <w:tcPr>
            <w:tcW w:w="196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中国电信集团有限公司</w:t>
            </w:r>
          </w:p>
        </w:tc>
        <w:tc>
          <w:tcPr>
            <w:tcW w:w="161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张芬芬</w:t>
            </w:r>
          </w:p>
        </w:tc>
        <w:tc>
          <w:tcPr>
            <w:tcW w:w="125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ascii="Times New Roman" w:hAnsi="Times New Roman" w:cs="Times New Roman"/>
                <w:kern w:val="0"/>
                <w:szCs w:val="21"/>
              </w:rPr>
              <w:t>参与</w:t>
            </w:r>
            <w:r>
              <w:rPr>
                <w:rFonts w:hint="eastAsia" w:ascii="Times New Roman" w:hAnsi="Times New Roman" w:cs="Times New Roman"/>
                <w:kern w:val="0"/>
                <w:szCs w:val="21"/>
              </w:rPr>
              <w:t>资料收集与调研分析，溯源专家意见处理等</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12</w:t>
            </w:r>
          </w:p>
        </w:tc>
        <w:tc>
          <w:tcPr>
            <w:tcW w:w="1960" w:type="dxa"/>
            <w:tcBorders>
              <w:top w:val="single" w:color="000000" w:sz="8" w:space="0"/>
              <w:left w:val="nil"/>
              <w:bottom w:val="single" w:color="000000" w:sz="8" w:space="0"/>
              <w:right w:val="single" w:color="000000" w:sz="8" w:space="0"/>
            </w:tcBorders>
            <w:vAlign w:val="center"/>
          </w:tcPr>
          <w:p>
            <w:pPr>
              <w:jc w:val="center"/>
            </w:pPr>
            <w:r>
              <w:rPr>
                <w:rFonts w:hint="eastAsia"/>
              </w:rPr>
              <w:t>天翼电子商务有限公司</w:t>
            </w:r>
          </w:p>
        </w:tc>
        <w:tc>
          <w:tcPr>
            <w:tcW w:w="161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谢杰</w:t>
            </w:r>
          </w:p>
        </w:tc>
        <w:tc>
          <w:tcPr>
            <w:tcW w:w="125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ascii="Times New Roman" w:hAnsi="Times New Roman" w:cs="Times New Roman"/>
                <w:kern w:val="0"/>
                <w:szCs w:val="21"/>
              </w:rPr>
              <w:t>参与</w:t>
            </w:r>
            <w:r>
              <w:rPr>
                <w:rFonts w:hint="eastAsia" w:ascii="Times New Roman" w:hAnsi="Times New Roman" w:cs="Times New Roman"/>
                <w:kern w:val="0"/>
                <w:szCs w:val="21"/>
              </w:rPr>
              <w:t>资料收集与调研分析，溯源专家意见处理等</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ascii="Times New Roman" w:hAnsi="Times New Roman" w:cs="Times New Roman"/>
                <w:kern w:val="0"/>
                <w:szCs w:val="21"/>
              </w:rPr>
              <w:t>13</w:t>
            </w:r>
          </w:p>
        </w:tc>
        <w:tc>
          <w:tcPr>
            <w:tcW w:w="196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eastAsia="宋体" w:cs="Times New Roman"/>
                <w:kern w:val="0"/>
                <w:szCs w:val="21"/>
              </w:rPr>
              <w:t>中国电信集团有限公司</w:t>
            </w:r>
          </w:p>
        </w:tc>
        <w:tc>
          <w:tcPr>
            <w:tcW w:w="161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cs="Times New Roman"/>
                <w:kern w:val="0"/>
                <w:szCs w:val="21"/>
              </w:rPr>
              <w:t>杨益娜</w:t>
            </w:r>
          </w:p>
        </w:tc>
        <w:tc>
          <w:tcPr>
            <w:tcW w:w="125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cs="Times New Roman"/>
                <w:kern w:val="0"/>
                <w:szCs w:val="21"/>
              </w:rPr>
              <w:t>参与标准框架研讨，以及溯源采集规范的研究编制。</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ascii="Times New Roman" w:hAnsi="Times New Roman" w:cs="Times New Roman"/>
                <w:kern w:val="0"/>
                <w:szCs w:val="21"/>
              </w:rPr>
              <w:t>14</w:t>
            </w:r>
          </w:p>
        </w:tc>
        <w:tc>
          <w:tcPr>
            <w:tcW w:w="196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eastAsia="宋体" w:cs="Times New Roman"/>
                <w:kern w:val="0"/>
                <w:szCs w:val="21"/>
              </w:rPr>
              <w:t>中国电信集团有限公司</w:t>
            </w:r>
          </w:p>
        </w:tc>
        <w:tc>
          <w:tcPr>
            <w:tcW w:w="161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cs="Times New Roman"/>
                <w:kern w:val="0"/>
                <w:szCs w:val="21"/>
              </w:rPr>
              <w:t>李昊</w:t>
            </w:r>
          </w:p>
        </w:tc>
        <w:tc>
          <w:tcPr>
            <w:tcW w:w="125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cs="Times New Roman"/>
                <w:kern w:val="0"/>
                <w:szCs w:val="21"/>
              </w:rPr>
              <w:t>参与标准框架研讨，溯源采集规范的研究编制。</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ascii="Times New Roman" w:hAnsi="Times New Roman" w:cs="Times New Roman"/>
                <w:kern w:val="0"/>
                <w:szCs w:val="21"/>
              </w:rPr>
              <w:t>15</w:t>
            </w:r>
          </w:p>
        </w:tc>
        <w:tc>
          <w:tcPr>
            <w:tcW w:w="196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eastAsia="宋体" w:cs="Times New Roman"/>
                <w:kern w:val="0"/>
                <w:szCs w:val="21"/>
              </w:rPr>
              <w:t>中国电信集团有限公司</w:t>
            </w:r>
          </w:p>
        </w:tc>
        <w:tc>
          <w:tcPr>
            <w:tcW w:w="161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r>
              <w:rPr>
                <w:rFonts w:hint="eastAsia" w:ascii="Times New Roman" w:hAnsi="Times New Roman" w:cs="Times New Roman"/>
                <w:kern w:val="0"/>
                <w:szCs w:val="21"/>
              </w:rPr>
              <w:t>韩志慧</w:t>
            </w:r>
          </w:p>
        </w:tc>
        <w:tc>
          <w:tcPr>
            <w:tcW w:w="125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cs="Times New Roman"/>
                <w:szCs w:val="24"/>
              </w:rPr>
            </w:pPr>
            <w:r>
              <w:rPr>
                <w:rFonts w:hint="eastAsia" w:ascii="Times New Roman" w:hAnsi="Times New Roman" w:cs="Times New Roman"/>
              </w:rPr>
              <w:t>参与标准的调研分析，溯源信息采集规范的研究编制。</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r>
              <w:rPr>
                <w:rFonts w:ascii="Times New Roman" w:hAnsi="Times New Roman" w:eastAsia="宋体" w:cs="Times New Roman"/>
                <w:kern w:val="0"/>
                <w:szCs w:val="21"/>
              </w:rPr>
              <w:t>6</w:t>
            </w:r>
          </w:p>
        </w:tc>
        <w:tc>
          <w:tcPr>
            <w:tcW w:w="1960" w:type="dxa"/>
            <w:tcBorders>
              <w:top w:val="single" w:color="000000" w:sz="8" w:space="0"/>
              <w:left w:val="nil"/>
              <w:bottom w:val="single" w:color="000000" w:sz="8" w:space="0"/>
              <w:right w:val="single" w:color="000000" w:sz="8" w:space="0"/>
            </w:tcBorders>
            <w:vAlign w:val="center"/>
          </w:tcPr>
          <w:p>
            <w:pPr>
              <w:jc w:val="center"/>
            </w:pPr>
            <w:r>
              <w:rPr>
                <w:rFonts w:hint="eastAsia"/>
              </w:rPr>
              <w:t>天翼电子商务有限公司</w:t>
            </w:r>
          </w:p>
        </w:tc>
        <w:tc>
          <w:tcPr>
            <w:tcW w:w="161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吴超</w:t>
            </w:r>
          </w:p>
        </w:tc>
        <w:tc>
          <w:tcPr>
            <w:tcW w:w="125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ascii="Times New Roman" w:hAnsi="Times New Roman" w:cs="Times New Roman"/>
                <w:kern w:val="0"/>
                <w:szCs w:val="21"/>
              </w:rPr>
              <w:t>参与</w:t>
            </w:r>
            <w:r>
              <w:rPr>
                <w:rFonts w:hint="eastAsia" w:ascii="Times New Roman" w:hAnsi="Times New Roman" w:cs="Times New Roman"/>
                <w:kern w:val="0"/>
                <w:szCs w:val="21"/>
              </w:rPr>
              <w:t>资料收集与调研分析，溯源专家意见处理等</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r>
              <w:rPr>
                <w:rFonts w:ascii="Times New Roman" w:hAnsi="Times New Roman" w:eastAsia="宋体" w:cs="Times New Roman"/>
                <w:kern w:val="0"/>
                <w:szCs w:val="21"/>
              </w:rPr>
              <w:t>7</w:t>
            </w:r>
          </w:p>
        </w:tc>
        <w:tc>
          <w:tcPr>
            <w:tcW w:w="1960" w:type="dxa"/>
            <w:tcBorders>
              <w:top w:val="single" w:color="000000" w:sz="8" w:space="0"/>
              <w:left w:val="nil"/>
              <w:bottom w:val="single" w:color="000000" w:sz="8" w:space="0"/>
              <w:right w:val="single" w:color="000000" w:sz="8" w:space="0"/>
            </w:tcBorders>
            <w:vAlign w:val="center"/>
          </w:tcPr>
          <w:p>
            <w:pPr>
              <w:jc w:val="center"/>
            </w:pPr>
            <w:r>
              <w:rPr>
                <w:rFonts w:hint="eastAsia"/>
              </w:rPr>
              <w:t>天翼电子商务有限公司</w:t>
            </w:r>
          </w:p>
        </w:tc>
        <w:tc>
          <w:tcPr>
            <w:tcW w:w="161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贺伟</w:t>
            </w:r>
          </w:p>
        </w:tc>
        <w:tc>
          <w:tcPr>
            <w:tcW w:w="125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widowControl/>
              <w:adjustRightInd w:val="0"/>
              <w:snapToGrid w:val="0"/>
              <w:spacing w:before="156" w:beforeLines="50" w:after="156" w:afterLines="50" w:line="240" w:lineRule="exact"/>
              <w:jc w:val="center"/>
              <w:rPr>
                <w:rFonts w:ascii="Times New Roman" w:hAnsi="Times New Roman" w:eastAsia="宋体" w:cs="Times New Roman"/>
                <w:kern w:val="0"/>
                <w:szCs w:val="21"/>
              </w:rPr>
            </w:pPr>
            <w:r>
              <w:rPr>
                <w:rFonts w:ascii="Times New Roman" w:hAnsi="Times New Roman" w:cs="Times New Roman"/>
                <w:kern w:val="0"/>
                <w:szCs w:val="21"/>
              </w:rPr>
              <w:t>参与</w:t>
            </w:r>
            <w:r>
              <w:rPr>
                <w:rFonts w:hint="eastAsia" w:ascii="Times New Roman" w:hAnsi="Times New Roman" w:cs="Times New Roman"/>
                <w:kern w:val="0"/>
                <w:szCs w:val="21"/>
              </w:rPr>
              <w:t>资料收集与调研分析，溯源专家意见处理等</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jc w:val="center"/>
            </w:pPr>
            <w:r>
              <w:rPr>
                <w:rFonts w:hint="eastAsia"/>
              </w:rPr>
              <w:t>1</w:t>
            </w:r>
            <w:r>
              <w:t>8</w:t>
            </w:r>
          </w:p>
        </w:tc>
        <w:tc>
          <w:tcPr>
            <w:tcW w:w="1960" w:type="dxa"/>
            <w:tcBorders>
              <w:top w:val="single" w:color="000000" w:sz="8" w:space="0"/>
              <w:left w:val="nil"/>
              <w:bottom w:val="single" w:color="000000" w:sz="8" w:space="0"/>
              <w:right w:val="single" w:color="000000" w:sz="8" w:space="0"/>
            </w:tcBorders>
            <w:vAlign w:val="center"/>
          </w:tcPr>
          <w:p>
            <w:pPr>
              <w:jc w:val="center"/>
            </w:pPr>
            <w:r>
              <w:rPr>
                <w:rFonts w:hint="eastAsia"/>
              </w:rPr>
              <w:t>潍坊市农业农村局</w:t>
            </w:r>
          </w:p>
        </w:tc>
        <w:tc>
          <w:tcPr>
            <w:tcW w:w="1610" w:type="dxa"/>
            <w:tcBorders>
              <w:top w:val="single" w:color="000000" w:sz="8" w:space="0"/>
              <w:left w:val="nil"/>
              <w:bottom w:val="single" w:color="000000" w:sz="8" w:space="0"/>
              <w:right w:val="single" w:color="000000" w:sz="8" w:space="0"/>
            </w:tcBorders>
            <w:vAlign w:val="center"/>
          </w:tcPr>
          <w:p>
            <w:pPr>
              <w:jc w:val="center"/>
            </w:pPr>
            <w:r>
              <w:rPr>
                <w:rFonts w:hint="eastAsia"/>
              </w:rPr>
              <w:t>展世祥</w:t>
            </w:r>
          </w:p>
        </w:tc>
        <w:tc>
          <w:tcPr>
            <w:tcW w:w="1250" w:type="dxa"/>
            <w:tcBorders>
              <w:top w:val="single" w:color="000000" w:sz="8" w:space="0"/>
              <w:left w:val="nil"/>
              <w:bottom w:val="single" w:color="000000" w:sz="8" w:space="0"/>
              <w:right w:val="single" w:color="000000" w:sz="8" w:space="0"/>
            </w:tcBorders>
            <w:vAlign w:val="center"/>
          </w:tcPr>
          <w:p>
            <w:pPr>
              <w:jc w:val="center"/>
            </w:pPr>
          </w:p>
        </w:tc>
        <w:tc>
          <w:tcPr>
            <w:tcW w:w="3230" w:type="dxa"/>
            <w:tcBorders>
              <w:top w:val="single" w:color="000000" w:sz="8" w:space="0"/>
              <w:left w:val="nil"/>
              <w:bottom w:val="single" w:color="000000" w:sz="8" w:space="0"/>
              <w:right w:val="single" w:color="000000" w:sz="8" w:space="0"/>
            </w:tcBorders>
            <w:vAlign w:val="center"/>
          </w:tcPr>
          <w:p>
            <w:pPr>
              <w:jc w:val="center"/>
            </w:pPr>
            <w:r>
              <w:rPr>
                <w:rFonts w:ascii="Times New Roman" w:hAnsi="Times New Roman" w:cs="Times New Roman"/>
                <w:kern w:val="0"/>
                <w:szCs w:val="21"/>
              </w:rPr>
              <w:t>参与</w:t>
            </w:r>
            <w:r>
              <w:rPr>
                <w:rFonts w:hint="eastAsia" w:ascii="Times New Roman" w:hAnsi="Times New Roman" w:cs="Times New Roman"/>
                <w:kern w:val="0"/>
                <w:szCs w:val="21"/>
              </w:rPr>
              <w:t>资料收集与调研分析，专家意见处理等</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jc w:val="center"/>
            </w:pPr>
            <w:r>
              <w:rPr>
                <w:rFonts w:hint="eastAsia"/>
              </w:rPr>
              <w:t>1</w:t>
            </w:r>
            <w:r>
              <w:t>9</w:t>
            </w:r>
          </w:p>
        </w:tc>
        <w:tc>
          <w:tcPr>
            <w:tcW w:w="1960" w:type="dxa"/>
            <w:tcBorders>
              <w:top w:val="single" w:color="000000" w:sz="8" w:space="0"/>
              <w:left w:val="nil"/>
              <w:bottom w:val="single" w:color="000000" w:sz="8" w:space="0"/>
              <w:right w:val="single" w:color="000000" w:sz="8" w:space="0"/>
            </w:tcBorders>
            <w:vAlign w:val="center"/>
          </w:tcPr>
          <w:p>
            <w:pPr>
              <w:jc w:val="center"/>
            </w:pPr>
            <w:r>
              <w:rPr>
                <w:rFonts w:hint="eastAsia"/>
              </w:rPr>
              <w:t>潍坊市农业农村局</w:t>
            </w:r>
          </w:p>
        </w:tc>
        <w:tc>
          <w:tcPr>
            <w:tcW w:w="1610" w:type="dxa"/>
            <w:tcBorders>
              <w:top w:val="single" w:color="000000" w:sz="8" w:space="0"/>
              <w:left w:val="nil"/>
              <w:bottom w:val="single" w:color="000000" w:sz="8" w:space="0"/>
              <w:right w:val="single" w:color="000000" w:sz="8" w:space="0"/>
            </w:tcBorders>
            <w:vAlign w:val="center"/>
          </w:tcPr>
          <w:p>
            <w:pPr>
              <w:jc w:val="center"/>
            </w:pPr>
            <w:r>
              <w:rPr>
                <w:rFonts w:hint="eastAsia"/>
              </w:rPr>
              <w:t>王伟</w:t>
            </w:r>
          </w:p>
        </w:tc>
        <w:tc>
          <w:tcPr>
            <w:tcW w:w="1250" w:type="dxa"/>
            <w:tcBorders>
              <w:top w:val="single" w:color="000000" w:sz="8" w:space="0"/>
              <w:left w:val="nil"/>
              <w:bottom w:val="single" w:color="000000" w:sz="8" w:space="0"/>
              <w:right w:val="single" w:color="000000" w:sz="8" w:space="0"/>
            </w:tcBorders>
            <w:vAlign w:val="center"/>
          </w:tcPr>
          <w:p>
            <w:pPr>
              <w:jc w:val="center"/>
            </w:pPr>
          </w:p>
        </w:tc>
        <w:tc>
          <w:tcPr>
            <w:tcW w:w="3230" w:type="dxa"/>
            <w:tcBorders>
              <w:top w:val="single" w:color="000000" w:sz="8" w:space="0"/>
              <w:left w:val="nil"/>
              <w:bottom w:val="single" w:color="000000" w:sz="8" w:space="0"/>
              <w:right w:val="single" w:color="000000" w:sz="8" w:space="0"/>
            </w:tcBorders>
            <w:vAlign w:val="center"/>
          </w:tcPr>
          <w:p>
            <w:pPr>
              <w:jc w:val="center"/>
            </w:pPr>
            <w:r>
              <w:rPr>
                <w:rFonts w:ascii="Times New Roman" w:hAnsi="Times New Roman" w:cs="Times New Roman"/>
                <w:kern w:val="0"/>
                <w:szCs w:val="21"/>
              </w:rPr>
              <w:t>参与</w:t>
            </w:r>
            <w:r>
              <w:rPr>
                <w:rFonts w:hint="eastAsia" w:ascii="Times New Roman" w:hAnsi="Times New Roman" w:cs="Times New Roman"/>
                <w:kern w:val="0"/>
                <w:szCs w:val="21"/>
              </w:rPr>
              <w:t>资料收集与调研分析，专家意见处理等</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jc w:val="center"/>
            </w:pPr>
            <w:r>
              <w:t>20</w:t>
            </w:r>
          </w:p>
        </w:tc>
        <w:tc>
          <w:tcPr>
            <w:tcW w:w="1960" w:type="dxa"/>
            <w:tcBorders>
              <w:top w:val="single" w:color="000000" w:sz="8" w:space="0"/>
              <w:left w:val="nil"/>
              <w:bottom w:val="single" w:color="000000" w:sz="8" w:space="0"/>
              <w:right w:val="single" w:color="000000" w:sz="8" w:space="0"/>
            </w:tcBorders>
            <w:vAlign w:val="center"/>
          </w:tcPr>
          <w:p>
            <w:pPr>
              <w:jc w:val="center"/>
            </w:pPr>
            <w:r>
              <w:rPr>
                <w:rFonts w:hint="eastAsia"/>
              </w:rPr>
              <w:t>潍坊电信</w:t>
            </w:r>
          </w:p>
        </w:tc>
        <w:tc>
          <w:tcPr>
            <w:tcW w:w="1610" w:type="dxa"/>
            <w:tcBorders>
              <w:top w:val="single" w:color="000000" w:sz="8" w:space="0"/>
              <w:left w:val="nil"/>
              <w:bottom w:val="single" w:color="000000" w:sz="8" w:space="0"/>
              <w:right w:val="single" w:color="000000" w:sz="8" w:space="0"/>
            </w:tcBorders>
            <w:vAlign w:val="center"/>
          </w:tcPr>
          <w:p>
            <w:pPr>
              <w:jc w:val="center"/>
            </w:pPr>
            <w:r>
              <w:rPr>
                <w:rFonts w:hint="eastAsia"/>
              </w:rPr>
              <w:t>郑龙</w:t>
            </w:r>
          </w:p>
        </w:tc>
        <w:tc>
          <w:tcPr>
            <w:tcW w:w="1250" w:type="dxa"/>
            <w:tcBorders>
              <w:top w:val="single" w:color="000000" w:sz="8" w:space="0"/>
              <w:left w:val="nil"/>
              <w:bottom w:val="single" w:color="000000" w:sz="8" w:space="0"/>
              <w:right w:val="single" w:color="000000" w:sz="8" w:space="0"/>
            </w:tcBorders>
            <w:vAlign w:val="center"/>
          </w:tcPr>
          <w:p>
            <w:pPr>
              <w:jc w:val="center"/>
              <w:rPr>
                <w:rFonts w:ascii="Times New Roman" w:hAnsi="Times New Roman"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jc w:val="center"/>
              <w:rPr>
                <w:rFonts w:ascii="Times New Roman" w:hAnsi="Times New Roman" w:cs="Times New Roman"/>
                <w:kern w:val="0"/>
                <w:szCs w:val="21"/>
              </w:rPr>
            </w:pPr>
            <w:r>
              <w:rPr>
                <w:rFonts w:hint="eastAsia" w:ascii="Times New Roman" w:hAnsi="Times New Roman" w:cs="Times New Roman"/>
              </w:rPr>
              <w:t>参与标准的调研分析与修改</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jc w:val="center"/>
            </w:pPr>
            <w:r>
              <w:t>21</w:t>
            </w:r>
          </w:p>
        </w:tc>
        <w:tc>
          <w:tcPr>
            <w:tcW w:w="1960" w:type="dxa"/>
            <w:tcBorders>
              <w:top w:val="single" w:color="000000" w:sz="8" w:space="0"/>
              <w:left w:val="nil"/>
              <w:bottom w:val="single" w:color="000000" w:sz="8" w:space="0"/>
              <w:right w:val="single" w:color="000000" w:sz="8" w:space="0"/>
            </w:tcBorders>
            <w:vAlign w:val="center"/>
          </w:tcPr>
          <w:p>
            <w:pPr>
              <w:jc w:val="center"/>
            </w:pPr>
            <w:r>
              <w:rPr>
                <w:rFonts w:hint="eastAsia"/>
              </w:rPr>
              <w:t>天翼电子商务有限公司</w:t>
            </w:r>
          </w:p>
        </w:tc>
        <w:tc>
          <w:tcPr>
            <w:tcW w:w="1610" w:type="dxa"/>
            <w:tcBorders>
              <w:top w:val="single" w:color="000000" w:sz="8" w:space="0"/>
              <w:left w:val="nil"/>
              <w:bottom w:val="single" w:color="000000" w:sz="8" w:space="0"/>
              <w:right w:val="single" w:color="000000" w:sz="8" w:space="0"/>
            </w:tcBorders>
            <w:vAlign w:val="center"/>
          </w:tcPr>
          <w:p>
            <w:pPr>
              <w:jc w:val="center"/>
            </w:pPr>
            <w:r>
              <w:rPr>
                <w:rFonts w:hint="eastAsia"/>
              </w:rPr>
              <w:t>金杰</w:t>
            </w:r>
          </w:p>
        </w:tc>
        <w:tc>
          <w:tcPr>
            <w:tcW w:w="1250" w:type="dxa"/>
            <w:tcBorders>
              <w:top w:val="single" w:color="000000" w:sz="8" w:space="0"/>
              <w:left w:val="nil"/>
              <w:bottom w:val="single" w:color="000000" w:sz="8" w:space="0"/>
              <w:right w:val="single" w:color="000000" w:sz="8" w:space="0"/>
            </w:tcBorders>
            <w:vAlign w:val="center"/>
          </w:tcPr>
          <w:p>
            <w:pPr>
              <w:jc w:val="center"/>
              <w:rPr>
                <w:rFonts w:ascii="Times New Roman" w:hAnsi="Times New Roman"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jc w:val="center"/>
              <w:rPr>
                <w:rFonts w:ascii="Times New Roman" w:hAnsi="Times New Roman" w:cs="Times New Roman"/>
                <w:kern w:val="0"/>
                <w:szCs w:val="21"/>
              </w:rPr>
            </w:pPr>
            <w:r>
              <w:rPr>
                <w:rFonts w:ascii="Times New Roman" w:hAnsi="Times New Roman" w:cs="Times New Roman"/>
                <w:kern w:val="0"/>
                <w:szCs w:val="21"/>
              </w:rPr>
              <w:t>参与</w:t>
            </w:r>
            <w:r>
              <w:rPr>
                <w:rFonts w:hint="eastAsia" w:ascii="Times New Roman" w:hAnsi="Times New Roman" w:cs="Times New Roman"/>
                <w:kern w:val="0"/>
                <w:szCs w:val="21"/>
              </w:rPr>
              <w:t>资料收集与调研分析，溯源专家意见处理等</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jc w:val="center"/>
            </w:pPr>
            <w:r>
              <w:t>22</w:t>
            </w:r>
          </w:p>
        </w:tc>
        <w:tc>
          <w:tcPr>
            <w:tcW w:w="1960" w:type="dxa"/>
            <w:tcBorders>
              <w:top w:val="single" w:color="000000" w:sz="8" w:space="0"/>
              <w:left w:val="nil"/>
              <w:bottom w:val="single" w:color="000000" w:sz="8" w:space="0"/>
              <w:right w:val="single" w:color="000000" w:sz="8" w:space="0"/>
            </w:tcBorders>
            <w:vAlign w:val="center"/>
          </w:tcPr>
          <w:p>
            <w:pPr>
              <w:jc w:val="center"/>
            </w:pPr>
            <w:r>
              <w:rPr>
                <w:rFonts w:hint="eastAsia"/>
              </w:rPr>
              <w:t>天翼电子商务有限公司</w:t>
            </w:r>
          </w:p>
        </w:tc>
        <w:tc>
          <w:tcPr>
            <w:tcW w:w="1610" w:type="dxa"/>
            <w:tcBorders>
              <w:top w:val="single" w:color="000000" w:sz="8" w:space="0"/>
              <w:left w:val="nil"/>
              <w:bottom w:val="single" w:color="000000" w:sz="8" w:space="0"/>
              <w:right w:val="single" w:color="000000" w:sz="8" w:space="0"/>
            </w:tcBorders>
            <w:vAlign w:val="center"/>
          </w:tcPr>
          <w:p>
            <w:pPr>
              <w:jc w:val="center"/>
            </w:pPr>
            <w:r>
              <w:rPr>
                <w:rFonts w:hint="eastAsia"/>
              </w:rPr>
              <w:t>李博</w:t>
            </w:r>
          </w:p>
        </w:tc>
        <w:tc>
          <w:tcPr>
            <w:tcW w:w="1250" w:type="dxa"/>
            <w:tcBorders>
              <w:top w:val="single" w:color="000000" w:sz="8" w:space="0"/>
              <w:left w:val="nil"/>
              <w:bottom w:val="single" w:color="000000" w:sz="8" w:space="0"/>
              <w:right w:val="single" w:color="000000" w:sz="8" w:space="0"/>
            </w:tcBorders>
            <w:vAlign w:val="center"/>
          </w:tcPr>
          <w:p>
            <w:pPr>
              <w:jc w:val="center"/>
              <w:rPr>
                <w:rFonts w:ascii="Times New Roman" w:hAnsi="Times New Roman"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jc w:val="center"/>
              <w:rPr>
                <w:rFonts w:ascii="Times New Roman" w:hAnsi="Times New Roman" w:cs="Times New Roman"/>
                <w:kern w:val="0"/>
                <w:szCs w:val="21"/>
              </w:rPr>
            </w:pPr>
            <w:r>
              <w:rPr>
                <w:rFonts w:ascii="Times New Roman" w:hAnsi="Times New Roman" w:cs="Times New Roman"/>
                <w:kern w:val="0"/>
                <w:szCs w:val="21"/>
              </w:rPr>
              <w:t>参与</w:t>
            </w:r>
            <w:r>
              <w:rPr>
                <w:rFonts w:hint="eastAsia" w:ascii="Times New Roman" w:hAnsi="Times New Roman" w:cs="Times New Roman"/>
                <w:kern w:val="0"/>
                <w:szCs w:val="21"/>
              </w:rPr>
              <w:t>资料收集与调研分析，溯源专家意见处理等</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jc w:val="center"/>
            </w:pPr>
            <w:r>
              <w:t>23</w:t>
            </w:r>
          </w:p>
        </w:tc>
        <w:tc>
          <w:tcPr>
            <w:tcW w:w="1960" w:type="dxa"/>
            <w:tcBorders>
              <w:top w:val="single" w:color="000000" w:sz="8" w:space="0"/>
              <w:left w:val="nil"/>
              <w:bottom w:val="single" w:color="000000" w:sz="8" w:space="0"/>
              <w:right w:val="single" w:color="000000" w:sz="8" w:space="0"/>
            </w:tcBorders>
            <w:vAlign w:val="center"/>
          </w:tcPr>
          <w:p>
            <w:pPr>
              <w:jc w:val="center"/>
            </w:pPr>
            <w:r>
              <w:rPr>
                <w:rFonts w:hint="eastAsia"/>
              </w:rPr>
              <w:t>天翼电子商务有限公司</w:t>
            </w:r>
          </w:p>
        </w:tc>
        <w:tc>
          <w:tcPr>
            <w:tcW w:w="1610" w:type="dxa"/>
            <w:tcBorders>
              <w:top w:val="single" w:color="000000" w:sz="8" w:space="0"/>
              <w:left w:val="nil"/>
              <w:bottom w:val="single" w:color="000000" w:sz="8" w:space="0"/>
              <w:right w:val="single" w:color="000000" w:sz="8" w:space="0"/>
            </w:tcBorders>
            <w:vAlign w:val="center"/>
          </w:tcPr>
          <w:p>
            <w:pPr>
              <w:jc w:val="center"/>
            </w:pPr>
            <w:r>
              <w:rPr>
                <w:rFonts w:hint="eastAsia"/>
              </w:rPr>
              <w:t>曹欢</w:t>
            </w:r>
          </w:p>
        </w:tc>
        <w:tc>
          <w:tcPr>
            <w:tcW w:w="1250" w:type="dxa"/>
            <w:tcBorders>
              <w:top w:val="single" w:color="000000" w:sz="8" w:space="0"/>
              <w:left w:val="nil"/>
              <w:bottom w:val="single" w:color="000000" w:sz="8" w:space="0"/>
              <w:right w:val="single" w:color="000000" w:sz="8" w:space="0"/>
            </w:tcBorders>
            <w:vAlign w:val="center"/>
          </w:tcPr>
          <w:p>
            <w:pPr>
              <w:jc w:val="center"/>
              <w:rPr>
                <w:rFonts w:ascii="Times New Roman" w:hAnsi="Times New Roman"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jc w:val="center"/>
              <w:rPr>
                <w:rFonts w:ascii="Times New Roman" w:hAnsi="Times New Roman" w:cs="Times New Roman"/>
                <w:kern w:val="0"/>
                <w:szCs w:val="21"/>
              </w:rPr>
            </w:pPr>
            <w:r>
              <w:rPr>
                <w:rFonts w:ascii="Times New Roman" w:hAnsi="Times New Roman" w:cs="Times New Roman"/>
                <w:kern w:val="0"/>
                <w:szCs w:val="21"/>
              </w:rPr>
              <w:t>参与</w:t>
            </w:r>
            <w:r>
              <w:rPr>
                <w:rFonts w:hint="eastAsia" w:ascii="Times New Roman" w:hAnsi="Times New Roman" w:cs="Times New Roman"/>
                <w:kern w:val="0"/>
                <w:szCs w:val="21"/>
              </w:rPr>
              <w:t>资料收集与调研分析，溯源专家意见处理等</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jc w:val="center"/>
            </w:pPr>
            <w:r>
              <w:rPr>
                <w:rFonts w:hint="eastAsia"/>
              </w:rPr>
              <w:t>2</w:t>
            </w:r>
            <w:r>
              <w:t>4</w:t>
            </w:r>
          </w:p>
        </w:tc>
        <w:tc>
          <w:tcPr>
            <w:tcW w:w="1960" w:type="dxa"/>
            <w:tcBorders>
              <w:top w:val="single" w:color="000000" w:sz="8" w:space="0"/>
              <w:left w:val="nil"/>
              <w:bottom w:val="single" w:color="000000" w:sz="8" w:space="0"/>
              <w:right w:val="single" w:color="000000" w:sz="8" w:space="0"/>
            </w:tcBorders>
            <w:vAlign w:val="center"/>
          </w:tcPr>
          <w:p>
            <w:pPr>
              <w:jc w:val="center"/>
            </w:pPr>
            <w:r>
              <w:rPr>
                <w:rFonts w:hint="eastAsia"/>
              </w:rPr>
              <w:t>天翼电子商务有限公司</w:t>
            </w:r>
          </w:p>
        </w:tc>
        <w:tc>
          <w:tcPr>
            <w:tcW w:w="1610" w:type="dxa"/>
            <w:tcBorders>
              <w:top w:val="single" w:color="000000" w:sz="8" w:space="0"/>
              <w:left w:val="nil"/>
              <w:bottom w:val="single" w:color="000000" w:sz="8" w:space="0"/>
              <w:right w:val="single" w:color="000000" w:sz="8" w:space="0"/>
            </w:tcBorders>
            <w:vAlign w:val="center"/>
          </w:tcPr>
          <w:p>
            <w:pPr>
              <w:jc w:val="center"/>
            </w:pPr>
            <w:r>
              <w:rPr>
                <w:rFonts w:hint="eastAsia"/>
              </w:rPr>
              <w:t>蔡辛灿</w:t>
            </w:r>
          </w:p>
        </w:tc>
        <w:tc>
          <w:tcPr>
            <w:tcW w:w="1250" w:type="dxa"/>
            <w:tcBorders>
              <w:top w:val="single" w:color="000000" w:sz="8" w:space="0"/>
              <w:left w:val="nil"/>
              <w:bottom w:val="single" w:color="000000" w:sz="8" w:space="0"/>
              <w:right w:val="single" w:color="000000" w:sz="8" w:space="0"/>
            </w:tcBorders>
            <w:vAlign w:val="center"/>
          </w:tcPr>
          <w:p>
            <w:pPr>
              <w:jc w:val="center"/>
              <w:rPr>
                <w:rFonts w:ascii="Times New Roman" w:hAnsi="Times New Roman"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jc w:val="center"/>
              <w:rPr>
                <w:rFonts w:ascii="Times New Roman" w:hAnsi="Times New Roman" w:cs="Times New Roman"/>
                <w:kern w:val="0"/>
                <w:szCs w:val="21"/>
              </w:rPr>
            </w:pPr>
            <w:r>
              <w:rPr>
                <w:rFonts w:ascii="Times New Roman" w:hAnsi="Times New Roman" w:cs="Times New Roman"/>
                <w:kern w:val="0"/>
                <w:szCs w:val="21"/>
              </w:rPr>
              <w:t>参与</w:t>
            </w:r>
            <w:r>
              <w:rPr>
                <w:rFonts w:hint="eastAsia" w:ascii="Times New Roman" w:hAnsi="Times New Roman" w:cs="Times New Roman"/>
                <w:kern w:val="0"/>
                <w:szCs w:val="21"/>
              </w:rPr>
              <w:t>资料收集与调研分析，溯源专家意见处理等</w:t>
            </w:r>
          </w:p>
        </w:tc>
      </w:tr>
      <w:tr>
        <w:tblPrEx>
          <w:tblCellMar>
            <w:top w:w="0" w:type="dxa"/>
            <w:left w:w="108" w:type="dxa"/>
            <w:bottom w:w="0" w:type="dxa"/>
            <w:right w:w="108" w:type="dxa"/>
          </w:tblCellMar>
        </w:tblPrEx>
        <w:trPr>
          <w:trHeight w:val="402" w:hRule="atLeast"/>
          <w:jc w:val="center"/>
        </w:trPr>
        <w:tc>
          <w:tcPr>
            <w:tcW w:w="741" w:type="dxa"/>
            <w:tcBorders>
              <w:top w:val="single" w:color="000000" w:sz="8" w:space="0"/>
              <w:left w:val="single" w:color="000000" w:sz="8" w:space="0"/>
              <w:bottom w:val="single" w:color="000000" w:sz="8" w:space="0"/>
              <w:right w:val="single" w:color="000000" w:sz="8" w:space="0"/>
            </w:tcBorders>
            <w:vAlign w:val="center"/>
          </w:tcPr>
          <w:p>
            <w:pPr>
              <w:jc w:val="center"/>
            </w:pPr>
            <w:r>
              <w:t>25</w:t>
            </w:r>
          </w:p>
        </w:tc>
        <w:tc>
          <w:tcPr>
            <w:tcW w:w="1960" w:type="dxa"/>
            <w:tcBorders>
              <w:top w:val="single" w:color="000000" w:sz="8" w:space="0"/>
              <w:left w:val="nil"/>
              <w:bottom w:val="single" w:color="000000" w:sz="8" w:space="0"/>
              <w:right w:val="single" w:color="000000" w:sz="8" w:space="0"/>
            </w:tcBorders>
            <w:vAlign w:val="center"/>
          </w:tcPr>
          <w:p>
            <w:pPr>
              <w:jc w:val="center"/>
            </w:pPr>
            <w:r>
              <w:rPr>
                <w:rFonts w:hint="eastAsia"/>
              </w:rPr>
              <w:t>潍坊电信</w:t>
            </w:r>
          </w:p>
        </w:tc>
        <w:tc>
          <w:tcPr>
            <w:tcW w:w="1610" w:type="dxa"/>
            <w:tcBorders>
              <w:top w:val="single" w:color="000000" w:sz="8" w:space="0"/>
              <w:left w:val="nil"/>
              <w:bottom w:val="single" w:color="000000" w:sz="8" w:space="0"/>
              <w:right w:val="single" w:color="000000" w:sz="8" w:space="0"/>
            </w:tcBorders>
            <w:vAlign w:val="center"/>
          </w:tcPr>
          <w:p>
            <w:pPr>
              <w:jc w:val="center"/>
            </w:pPr>
            <w:r>
              <w:rPr>
                <w:rFonts w:hint="eastAsia"/>
              </w:rPr>
              <w:t>张玉浩</w:t>
            </w:r>
          </w:p>
        </w:tc>
        <w:tc>
          <w:tcPr>
            <w:tcW w:w="1250" w:type="dxa"/>
            <w:tcBorders>
              <w:top w:val="single" w:color="000000" w:sz="8" w:space="0"/>
              <w:left w:val="nil"/>
              <w:bottom w:val="single" w:color="000000" w:sz="8" w:space="0"/>
              <w:right w:val="single" w:color="000000" w:sz="8" w:space="0"/>
            </w:tcBorders>
            <w:vAlign w:val="center"/>
          </w:tcPr>
          <w:p>
            <w:pPr>
              <w:jc w:val="center"/>
              <w:rPr>
                <w:rFonts w:ascii="Times New Roman" w:hAnsi="Times New Roman" w:cs="Times New Roman"/>
                <w:kern w:val="0"/>
                <w:szCs w:val="21"/>
              </w:rPr>
            </w:pPr>
          </w:p>
        </w:tc>
        <w:tc>
          <w:tcPr>
            <w:tcW w:w="3230" w:type="dxa"/>
            <w:tcBorders>
              <w:top w:val="single" w:color="000000" w:sz="8" w:space="0"/>
              <w:left w:val="nil"/>
              <w:bottom w:val="single" w:color="000000" w:sz="8" w:space="0"/>
              <w:right w:val="single" w:color="000000" w:sz="8" w:space="0"/>
            </w:tcBorders>
            <w:vAlign w:val="center"/>
          </w:tcPr>
          <w:p>
            <w:pPr>
              <w:jc w:val="center"/>
              <w:rPr>
                <w:rFonts w:ascii="Times New Roman" w:hAnsi="Times New Roman" w:cs="Times New Roman"/>
                <w:kern w:val="0"/>
                <w:szCs w:val="21"/>
              </w:rPr>
            </w:pPr>
            <w:r>
              <w:rPr>
                <w:rFonts w:hint="eastAsia" w:ascii="Times New Roman" w:hAnsi="Times New Roman" w:cs="Times New Roman"/>
              </w:rPr>
              <w:t>参与标准的调研分析与修改</w:t>
            </w:r>
          </w:p>
        </w:tc>
      </w:tr>
    </w:tbl>
    <w:p>
      <w:pPr>
        <w:widowControl/>
        <w:autoSpaceDE w:val="0"/>
        <w:autoSpaceDN w:val="0"/>
        <w:snapToGrid w:val="0"/>
        <w:spacing w:line="360" w:lineRule="auto"/>
        <w:ind w:firstLine="560"/>
        <w:rPr>
          <w:rFonts w:ascii="宋体" w:hAnsi="宋体" w:eastAsia="宋体" w:cs="方正仿宋简体"/>
          <w:kern w:val="0"/>
          <w:sz w:val="28"/>
          <w:szCs w:val="28"/>
        </w:rPr>
      </w:pPr>
    </w:p>
    <w:p>
      <w:pPr>
        <w:numPr>
          <w:ilvl w:val="0"/>
          <w:numId w:val="2"/>
        </w:numPr>
        <w:snapToGrid w:val="0"/>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起草编制过程</w:t>
      </w:r>
    </w:p>
    <w:p>
      <w:pPr>
        <w:snapToGrid w:val="0"/>
        <w:spacing w:line="360" w:lineRule="auto"/>
        <w:ind w:firstLine="560" w:firstLineChars="200"/>
        <w:rPr>
          <w:rFonts w:cs="方正仿宋简体" w:asciiTheme="minorEastAsia" w:hAnsiTheme="minorEastAsia"/>
          <w:kern w:val="0"/>
          <w:sz w:val="28"/>
          <w:szCs w:val="28"/>
        </w:rPr>
      </w:pPr>
      <w:r>
        <w:rPr>
          <w:rFonts w:hint="eastAsia" w:cs="方正仿宋简体" w:asciiTheme="minorEastAsia" w:hAnsiTheme="minorEastAsia"/>
          <w:sz w:val="28"/>
          <w:szCs w:val="28"/>
        </w:rPr>
        <w:t>在收集及分析整理相关资料的基础上，2023年4月，标准起草工作组</w:t>
      </w:r>
      <w:r>
        <w:rPr>
          <w:rFonts w:hint="eastAsia" w:cs="方正仿宋简体" w:asciiTheme="minorEastAsia" w:hAnsiTheme="minorEastAsia"/>
          <w:kern w:val="0"/>
          <w:sz w:val="28"/>
          <w:szCs w:val="28"/>
        </w:rPr>
        <w:t>参考了相关标准和规范，对农业对象进行充分调研、分析，按照标准编写大纲要求对标准草案内容进行了充实、完善</w:t>
      </w:r>
      <w:r>
        <w:rPr>
          <w:rFonts w:hint="eastAsia" w:cs="方正仿宋简体" w:asciiTheme="minorEastAsia" w:hAnsiTheme="minorEastAsia"/>
          <w:sz w:val="28"/>
          <w:szCs w:val="28"/>
        </w:rPr>
        <w:t>了《区块链+蔬菜质量安全溯源信息采集规范》标准草案。</w:t>
      </w:r>
      <w:r>
        <w:rPr>
          <w:rFonts w:hint="eastAsia" w:cs="方正仿宋简体" w:asciiTheme="minorEastAsia" w:hAnsiTheme="minorEastAsia"/>
          <w:kern w:val="0"/>
          <w:sz w:val="28"/>
          <w:szCs w:val="28"/>
        </w:rPr>
        <w:t>主要参考标准规范如下：</w:t>
      </w:r>
    </w:p>
    <w:p>
      <w:pPr>
        <w:snapToGrid w:val="0"/>
        <w:spacing w:line="360" w:lineRule="auto"/>
        <w:ind w:firstLine="560" w:firstLineChars="200"/>
        <w:rPr>
          <w:rFonts w:cs="方正仿宋简体" w:asciiTheme="minorEastAsia" w:hAnsiTheme="minorEastAsia"/>
          <w:sz w:val="28"/>
          <w:szCs w:val="28"/>
        </w:rPr>
      </w:pPr>
      <w:r>
        <w:rPr>
          <w:rFonts w:hint="eastAsia" w:cs="方正仿宋简体" w:asciiTheme="minorEastAsia" w:hAnsiTheme="minorEastAsia"/>
          <w:sz w:val="28"/>
          <w:szCs w:val="28"/>
        </w:rPr>
        <w:t>[</w:t>
      </w:r>
      <w:r>
        <w:rPr>
          <w:rFonts w:cs="方正仿宋简体" w:asciiTheme="minorEastAsia" w:hAnsiTheme="minorEastAsia"/>
          <w:sz w:val="28"/>
          <w:szCs w:val="28"/>
        </w:rPr>
        <w:t>1</w:t>
      </w:r>
      <w:r>
        <w:rPr>
          <w:rFonts w:hint="eastAsia" w:cs="方正仿宋简体" w:asciiTheme="minorEastAsia" w:hAnsiTheme="minorEastAsia"/>
          <w:sz w:val="28"/>
          <w:szCs w:val="28"/>
        </w:rPr>
        <w:t xml:space="preserve">] </w:t>
      </w:r>
      <w:r>
        <w:rPr>
          <w:rFonts w:cs="方正仿宋简体" w:asciiTheme="minorEastAsia" w:hAnsiTheme="minorEastAsia"/>
          <w:sz w:val="28"/>
          <w:szCs w:val="28"/>
        </w:rPr>
        <w:t>GB</w:t>
      </w:r>
      <w:r>
        <w:rPr>
          <w:rFonts w:hint="eastAsia" w:cs="方正仿宋简体" w:asciiTheme="minorEastAsia" w:hAnsiTheme="minorEastAsia"/>
          <w:sz w:val="28"/>
          <w:szCs w:val="28"/>
        </w:rPr>
        <w:t>/</w:t>
      </w:r>
      <w:r>
        <w:rPr>
          <w:rFonts w:cs="方正仿宋简体" w:asciiTheme="minorEastAsia" w:hAnsiTheme="minorEastAsia"/>
          <w:sz w:val="28"/>
          <w:szCs w:val="28"/>
        </w:rPr>
        <w:t>T</w:t>
      </w:r>
      <w:r>
        <w:rPr>
          <w:rFonts w:hint="eastAsia" w:cs="方正仿宋简体" w:asciiTheme="minorEastAsia" w:hAnsiTheme="minorEastAsia"/>
          <w:sz w:val="28"/>
          <w:szCs w:val="28"/>
        </w:rPr>
        <w:t xml:space="preserve"> </w:t>
      </w:r>
      <w:r>
        <w:rPr>
          <w:rFonts w:cs="方正仿宋简体" w:asciiTheme="minorEastAsia" w:hAnsiTheme="minorEastAsia"/>
          <w:sz w:val="28"/>
          <w:szCs w:val="28"/>
        </w:rPr>
        <w:t>22005-2009 饲料和食品链的可追溯性体系设计与实施的通用原则和基本要求</w:t>
      </w:r>
    </w:p>
    <w:p>
      <w:pPr>
        <w:snapToGrid w:val="0"/>
        <w:spacing w:line="360" w:lineRule="auto"/>
        <w:ind w:firstLine="560" w:firstLineChars="200"/>
        <w:rPr>
          <w:rFonts w:cs="方正仿宋简体" w:asciiTheme="minorEastAsia" w:hAnsiTheme="minorEastAsia"/>
          <w:sz w:val="28"/>
          <w:szCs w:val="28"/>
        </w:rPr>
      </w:pPr>
      <w:r>
        <w:rPr>
          <w:rFonts w:hint="eastAsia" w:cs="方正仿宋简体" w:asciiTheme="minorEastAsia" w:hAnsiTheme="minorEastAsia"/>
          <w:sz w:val="28"/>
          <w:szCs w:val="28"/>
        </w:rPr>
        <w:t>[</w:t>
      </w:r>
      <w:r>
        <w:rPr>
          <w:rFonts w:cs="方正仿宋简体" w:asciiTheme="minorEastAsia" w:hAnsiTheme="minorEastAsia"/>
          <w:sz w:val="28"/>
          <w:szCs w:val="28"/>
        </w:rPr>
        <w:t>2</w:t>
      </w:r>
      <w:r>
        <w:rPr>
          <w:rFonts w:hint="eastAsia" w:cs="方正仿宋简体" w:asciiTheme="minorEastAsia" w:hAnsiTheme="minorEastAsia"/>
          <w:sz w:val="28"/>
          <w:szCs w:val="28"/>
        </w:rPr>
        <w:t xml:space="preserve">] </w:t>
      </w:r>
      <w:r>
        <w:rPr>
          <w:rFonts w:cs="方正仿宋简体" w:asciiTheme="minorEastAsia" w:hAnsiTheme="minorEastAsia"/>
          <w:sz w:val="28"/>
          <w:szCs w:val="28"/>
        </w:rPr>
        <w:t>GB</w:t>
      </w:r>
      <w:r>
        <w:rPr>
          <w:rFonts w:hint="eastAsia" w:cs="方正仿宋简体" w:asciiTheme="minorEastAsia" w:hAnsiTheme="minorEastAsia"/>
          <w:sz w:val="28"/>
          <w:szCs w:val="28"/>
        </w:rPr>
        <w:t>/</w:t>
      </w:r>
      <w:r>
        <w:rPr>
          <w:rFonts w:cs="方正仿宋简体" w:asciiTheme="minorEastAsia" w:hAnsiTheme="minorEastAsia"/>
          <w:sz w:val="28"/>
          <w:szCs w:val="28"/>
        </w:rPr>
        <w:t>T</w:t>
      </w:r>
      <w:r>
        <w:rPr>
          <w:rFonts w:hint="eastAsia" w:cs="方正仿宋简体" w:asciiTheme="minorEastAsia" w:hAnsiTheme="minorEastAsia"/>
          <w:sz w:val="28"/>
          <w:szCs w:val="28"/>
        </w:rPr>
        <w:t xml:space="preserve"> 28843-2012 食品冷链物流追溯管理要求 </w:t>
      </w:r>
    </w:p>
    <w:p>
      <w:pPr>
        <w:snapToGrid w:val="0"/>
        <w:spacing w:line="360" w:lineRule="auto"/>
        <w:ind w:firstLine="560" w:firstLineChars="200"/>
        <w:rPr>
          <w:rFonts w:cs="方正仿宋简体" w:asciiTheme="minorEastAsia" w:hAnsiTheme="minorEastAsia"/>
          <w:sz w:val="28"/>
          <w:szCs w:val="28"/>
        </w:rPr>
      </w:pPr>
      <w:r>
        <w:rPr>
          <w:rFonts w:hint="eastAsia" w:cs="方正仿宋简体" w:asciiTheme="minorEastAsia" w:hAnsiTheme="minorEastAsia"/>
          <w:sz w:val="28"/>
          <w:szCs w:val="28"/>
        </w:rPr>
        <w:t>[</w:t>
      </w:r>
      <w:r>
        <w:rPr>
          <w:rFonts w:cs="方正仿宋简体" w:asciiTheme="minorEastAsia" w:hAnsiTheme="minorEastAsia"/>
          <w:sz w:val="28"/>
          <w:szCs w:val="28"/>
        </w:rPr>
        <w:t>3</w:t>
      </w:r>
      <w:r>
        <w:rPr>
          <w:rFonts w:hint="eastAsia" w:cs="方正仿宋简体" w:asciiTheme="minorEastAsia" w:hAnsiTheme="minorEastAsia"/>
          <w:sz w:val="28"/>
          <w:szCs w:val="28"/>
        </w:rPr>
        <w:t xml:space="preserve">] </w:t>
      </w:r>
      <w:r>
        <w:rPr>
          <w:rFonts w:cs="方正仿宋简体" w:asciiTheme="minorEastAsia" w:hAnsiTheme="minorEastAsia"/>
          <w:sz w:val="28"/>
          <w:szCs w:val="28"/>
        </w:rPr>
        <w:t>GB</w:t>
      </w:r>
      <w:r>
        <w:rPr>
          <w:rFonts w:hint="eastAsia" w:cs="方正仿宋简体" w:asciiTheme="minorEastAsia" w:hAnsiTheme="minorEastAsia"/>
          <w:sz w:val="28"/>
          <w:szCs w:val="28"/>
        </w:rPr>
        <w:t>/</w:t>
      </w:r>
      <w:r>
        <w:rPr>
          <w:rFonts w:cs="方正仿宋简体" w:asciiTheme="minorEastAsia" w:hAnsiTheme="minorEastAsia"/>
          <w:sz w:val="28"/>
          <w:szCs w:val="28"/>
        </w:rPr>
        <w:t>T</w:t>
      </w:r>
      <w:r>
        <w:rPr>
          <w:rFonts w:hint="eastAsia" w:cs="方正仿宋简体" w:asciiTheme="minorEastAsia" w:hAnsiTheme="minorEastAsia"/>
          <w:sz w:val="28"/>
          <w:szCs w:val="28"/>
        </w:rPr>
        <w:t xml:space="preserve"> </w:t>
      </w:r>
      <w:r>
        <w:rPr>
          <w:rFonts w:cs="方正仿宋简体" w:asciiTheme="minorEastAsia" w:hAnsiTheme="minorEastAsia"/>
          <w:sz w:val="28"/>
          <w:szCs w:val="28"/>
        </w:rPr>
        <w:t>29373-2012 农产品追溯要求果蔬</w:t>
      </w:r>
    </w:p>
    <w:p>
      <w:pPr>
        <w:snapToGrid w:val="0"/>
        <w:spacing w:line="360" w:lineRule="auto"/>
        <w:ind w:firstLine="560" w:firstLineChars="200"/>
        <w:rPr>
          <w:rFonts w:cs="方正仿宋简体" w:asciiTheme="minorEastAsia" w:hAnsiTheme="minorEastAsia"/>
          <w:sz w:val="28"/>
          <w:szCs w:val="28"/>
        </w:rPr>
      </w:pPr>
      <w:r>
        <w:rPr>
          <w:rFonts w:hint="eastAsia" w:cs="方正仿宋简体" w:asciiTheme="minorEastAsia" w:hAnsiTheme="minorEastAsia"/>
          <w:sz w:val="28"/>
          <w:szCs w:val="28"/>
        </w:rPr>
        <w:t>[</w:t>
      </w:r>
      <w:r>
        <w:rPr>
          <w:rFonts w:cs="方正仿宋简体" w:asciiTheme="minorEastAsia" w:hAnsiTheme="minorEastAsia"/>
          <w:sz w:val="28"/>
          <w:szCs w:val="28"/>
        </w:rPr>
        <w:t>4</w:t>
      </w:r>
      <w:r>
        <w:rPr>
          <w:rFonts w:hint="eastAsia" w:cs="方正仿宋简体" w:asciiTheme="minorEastAsia" w:hAnsiTheme="minorEastAsia"/>
          <w:sz w:val="28"/>
          <w:szCs w:val="28"/>
        </w:rPr>
        <w:t>] GB/T 35273-2020《信息安全技术 个人信息安全规范》</w:t>
      </w:r>
    </w:p>
    <w:p>
      <w:pPr>
        <w:snapToGrid w:val="0"/>
        <w:spacing w:line="360" w:lineRule="auto"/>
        <w:ind w:firstLine="560" w:firstLineChars="200"/>
        <w:rPr>
          <w:rFonts w:cs="方正仿宋简体" w:asciiTheme="minorEastAsia" w:hAnsiTheme="minorEastAsia"/>
          <w:sz w:val="28"/>
          <w:szCs w:val="28"/>
        </w:rPr>
      </w:pPr>
      <w:r>
        <w:rPr>
          <w:rFonts w:hint="eastAsia" w:cs="方正仿宋简体" w:asciiTheme="minorEastAsia" w:hAnsiTheme="minorEastAsia"/>
          <w:sz w:val="28"/>
          <w:szCs w:val="28"/>
        </w:rPr>
        <w:t>[</w:t>
      </w:r>
      <w:r>
        <w:rPr>
          <w:rFonts w:cs="方正仿宋简体" w:asciiTheme="minorEastAsia" w:hAnsiTheme="minorEastAsia"/>
          <w:sz w:val="28"/>
          <w:szCs w:val="28"/>
        </w:rPr>
        <w:t>5</w:t>
      </w:r>
      <w:r>
        <w:rPr>
          <w:rFonts w:hint="eastAsia" w:cs="方正仿宋简体" w:asciiTheme="minorEastAsia" w:hAnsiTheme="minorEastAsia"/>
          <w:sz w:val="28"/>
          <w:szCs w:val="28"/>
        </w:rPr>
        <w:t>] GB/T 38154-2019 重要产品追溯 核心元数据</w:t>
      </w:r>
    </w:p>
    <w:p>
      <w:pPr>
        <w:snapToGrid w:val="0"/>
        <w:spacing w:line="360" w:lineRule="auto"/>
        <w:ind w:firstLine="560" w:firstLineChars="200"/>
        <w:rPr>
          <w:rFonts w:cs="方正仿宋简体" w:asciiTheme="minorEastAsia" w:hAnsiTheme="minorEastAsia"/>
          <w:sz w:val="28"/>
          <w:szCs w:val="28"/>
        </w:rPr>
      </w:pPr>
      <w:r>
        <w:rPr>
          <w:rFonts w:hint="eastAsia" w:cs="方正仿宋简体" w:asciiTheme="minorEastAsia" w:hAnsiTheme="minorEastAsia"/>
          <w:sz w:val="28"/>
          <w:szCs w:val="28"/>
        </w:rPr>
        <w:t>[</w:t>
      </w:r>
      <w:r>
        <w:rPr>
          <w:rFonts w:cs="方正仿宋简体" w:asciiTheme="minorEastAsia" w:hAnsiTheme="minorEastAsia"/>
          <w:sz w:val="28"/>
          <w:szCs w:val="28"/>
        </w:rPr>
        <w:t>6</w:t>
      </w:r>
      <w:r>
        <w:rPr>
          <w:rFonts w:hint="eastAsia" w:cs="方正仿宋简体" w:asciiTheme="minorEastAsia" w:hAnsiTheme="minorEastAsia"/>
          <w:sz w:val="28"/>
          <w:szCs w:val="28"/>
        </w:rPr>
        <w:t>]</w:t>
      </w:r>
      <w:r>
        <w:rPr>
          <w:rFonts w:cs="方正仿宋简体" w:asciiTheme="minorEastAsia" w:hAnsiTheme="minorEastAsia"/>
          <w:sz w:val="28"/>
          <w:szCs w:val="28"/>
        </w:rPr>
        <w:t xml:space="preserve"> </w:t>
      </w:r>
      <w:r>
        <w:rPr>
          <w:rFonts w:hint="eastAsia" w:cs="方正仿宋简体" w:asciiTheme="minorEastAsia" w:hAnsiTheme="minorEastAsia"/>
          <w:sz w:val="28"/>
          <w:szCs w:val="28"/>
        </w:rPr>
        <w:t>GB/T</w:t>
      </w:r>
      <w:r>
        <w:rPr>
          <w:rFonts w:cs="方正仿宋简体" w:asciiTheme="minorEastAsia" w:hAnsiTheme="minorEastAsia"/>
          <w:sz w:val="28"/>
          <w:szCs w:val="28"/>
        </w:rPr>
        <w:t xml:space="preserve"> </w:t>
      </w:r>
      <w:r>
        <w:rPr>
          <w:rFonts w:hint="eastAsia" w:cs="方正仿宋简体" w:asciiTheme="minorEastAsia" w:hAnsiTheme="minorEastAsia"/>
          <w:sz w:val="28"/>
          <w:szCs w:val="28"/>
        </w:rPr>
        <w:t>42752-2023 区块链和分布式记账技术 参考架构</w:t>
      </w:r>
    </w:p>
    <w:p>
      <w:pPr>
        <w:snapToGrid w:val="0"/>
        <w:spacing w:line="360" w:lineRule="auto"/>
        <w:ind w:firstLine="560" w:firstLineChars="200"/>
        <w:rPr>
          <w:rFonts w:cs="方正仿宋简体" w:asciiTheme="minorEastAsia" w:hAnsiTheme="minorEastAsia"/>
          <w:sz w:val="28"/>
          <w:szCs w:val="28"/>
        </w:rPr>
      </w:pPr>
      <w:r>
        <w:rPr>
          <w:rFonts w:hint="eastAsia" w:cs="方正仿宋简体" w:asciiTheme="minorEastAsia" w:hAnsiTheme="minorEastAsia"/>
          <w:sz w:val="28"/>
          <w:szCs w:val="28"/>
        </w:rPr>
        <w:t>[</w:t>
      </w:r>
      <w:r>
        <w:rPr>
          <w:rFonts w:cs="方正仿宋简体" w:asciiTheme="minorEastAsia" w:hAnsiTheme="minorEastAsia"/>
          <w:sz w:val="28"/>
          <w:szCs w:val="28"/>
        </w:rPr>
        <w:t>7</w:t>
      </w:r>
      <w:r>
        <w:rPr>
          <w:rFonts w:hint="eastAsia" w:cs="方正仿宋简体" w:asciiTheme="minorEastAsia" w:hAnsiTheme="minorEastAsia"/>
          <w:sz w:val="28"/>
          <w:szCs w:val="28"/>
        </w:rPr>
        <w:t>] NY/</w:t>
      </w:r>
      <w:r>
        <w:rPr>
          <w:rFonts w:cs="方正仿宋简体" w:asciiTheme="minorEastAsia" w:hAnsiTheme="minorEastAsia"/>
          <w:sz w:val="28"/>
          <w:szCs w:val="28"/>
        </w:rPr>
        <w:t>T</w:t>
      </w:r>
      <w:r>
        <w:rPr>
          <w:rFonts w:hint="eastAsia" w:cs="方正仿宋简体" w:asciiTheme="minorEastAsia" w:hAnsiTheme="minorEastAsia"/>
          <w:sz w:val="28"/>
          <w:szCs w:val="28"/>
        </w:rPr>
        <w:t xml:space="preserve"> 1431-2007 农产品追溯编码导则</w:t>
      </w:r>
    </w:p>
    <w:p>
      <w:pPr>
        <w:snapToGrid w:val="0"/>
        <w:spacing w:line="360" w:lineRule="auto"/>
        <w:ind w:firstLine="560" w:firstLineChars="200"/>
        <w:rPr>
          <w:rFonts w:cs="方正仿宋简体" w:asciiTheme="minorEastAsia" w:hAnsiTheme="minorEastAsia"/>
          <w:sz w:val="28"/>
          <w:szCs w:val="28"/>
        </w:rPr>
      </w:pPr>
      <w:r>
        <w:rPr>
          <w:rFonts w:hint="eastAsia" w:cs="方正仿宋简体" w:asciiTheme="minorEastAsia" w:hAnsiTheme="minorEastAsia"/>
          <w:sz w:val="28"/>
          <w:szCs w:val="28"/>
        </w:rPr>
        <w:t>[</w:t>
      </w:r>
      <w:r>
        <w:rPr>
          <w:rFonts w:cs="方正仿宋简体" w:asciiTheme="minorEastAsia" w:hAnsiTheme="minorEastAsia"/>
          <w:sz w:val="28"/>
          <w:szCs w:val="28"/>
        </w:rPr>
        <w:t>8</w:t>
      </w:r>
      <w:r>
        <w:rPr>
          <w:rFonts w:hint="eastAsia" w:cs="方正仿宋简体" w:asciiTheme="minorEastAsia" w:hAnsiTheme="minorEastAsia"/>
          <w:sz w:val="28"/>
          <w:szCs w:val="28"/>
        </w:rPr>
        <w:t>] NY/T 1993-2011农产品质量安全追溯操作规程 蔬菜</w:t>
      </w:r>
    </w:p>
    <w:p>
      <w:pPr>
        <w:snapToGrid w:val="0"/>
        <w:spacing w:line="360" w:lineRule="auto"/>
        <w:ind w:firstLine="560" w:firstLineChars="200"/>
        <w:rPr>
          <w:rFonts w:cs="方正仿宋简体" w:asciiTheme="minorEastAsia" w:hAnsiTheme="minorEastAsia"/>
          <w:sz w:val="28"/>
          <w:szCs w:val="28"/>
        </w:rPr>
      </w:pPr>
      <w:r>
        <w:rPr>
          <w:rFonts w:hint="eastAsia" w:cs="方正仿宋简体" w:asciiTheme="minorEastAsia" w:hAnsiTheme="minorEastAsia"/>
          <w:sz w:val="28"/>
          <w:szCs w:val="28"/>
        </w:rPr>
        <w:t>[</w:t>
      </w:r>
      <w:r>
        <w:rPr>
          <w:rFonts w:cs="方正仿宋简体" w:asciiTheme="minorEastAsia" w:hAnsiTheme="minorEastAsia"/>
          <w:sz w:val="28"/>
          <w:szCs w:val="28"/>
        </w:rPr>
        <w:t>9</w:t>
      </w:r>
      <w:r>
        <w:rPr>
          <w:rFonts w:hint="eastAsia" w:cs="方正仿宋简体" w:asciiTheme="minorEastAsia" w:hAnsiTheme="minorEastAsia"/>
          <w:sz w:val="28"/>
          <w:szCs w:val="28"/>
        </w:rPr>
        <w:t>] NY/</w:t>
      </w:r>
      <w:r>
        <w:rPr>
          <w:rFonts w:cs="方正仿宋简体" w:asciiTheme="minorEastAsia" w:hAnsiTheme="minorEastAsia"/>
          <w:sz w:val="28"/>
          <w:szCs w:val="28"/>
        </w:rPr>
        <w:t>T</w:t>
      </w:r>
      <w:r>
        <w:rPr>
          <w:rFonts w:hint="eastAsia" w:cs="方正仿宋简体" w:asciiTheme="minorEastAsia" w:hAnsiTheme="minorEastAsia"/>
          <w:sz w:val="28"/>
          <w:szCs w:val="28"/>
        </w:rPr>
        <w:t xml:space="preserve"> 2531-2013 农产品质量追溯信息交换接口规范</w:t>
      </w:r>
    </w:p>
    <w:p>
      <w:pPr>
        <w:snapToGrid w:val="0"/>
        <w:spacing w:line="360" w:lineRule="auto"/>
        <w:ind w:firstLine="560" w:firstLineChars="200"/>
        <w:rPr>
          <w:rFonts w:cs="方正仿宋简体" w:asciiTheme="minorEastAsia" w:hAnsiTheme="minorEastAsia"/>
          <w:sz w:val="28"/>
          <w:szCs w:val="28"/>
        </w:rPr>
      </w:pPr>
      <w:r>
        <w:rPr>
          <w:rFonts w:cs="方正仿宋简体" w:asciiTheme="minorEastAsia" w:hAnsiTheme="minorEastAsia"/>
          <w:sz w:val="28"/>
          <w:szCs w:val="28"/>
        </w:rPr>
        <w:t>[</w:t>
      </w:r>
      <w:r>
        <w:rPr>
          <w:rFonts w:hint="eastAsia" w:cs="方正仿宋简体" w:asciiTheme="minorEastAsia" w:hAnsiTheme="minorEastAsia"/>
          <w:sz w:val="28"/>
          <w:szCs w:val="28"/>
        </w:rPr>
        <w:t>1</w:t>
      </w:r>
      <w:r>
        <w:rPr>
          <w:rFonts w:cs="方正仿宋简体" w:asciiTheme="minorEastAsia" w:hAnsiTheme="minorEastAsia"/>
          <w:sz w:val="28"/>
          <w:szCs w:val="28"/>
        </w:rPr>
        <w:t>0]</w:t>
      </w:r>
      <w:r>
        <w:rPr>
          <w:rFonts w:hint="eastAsia" w:cs="方正仿宋简体" w:asciiTheme="minorEastAsia" w:hAnsiTheme="minorEastAsia"/>
          <w:sz w:val="28"/>
          <w:szCs w:val="28"/>
        </w:rPr>
        <w:t xml:space="preserve"> NY/</w:t>
      </w:r>
      <w:r>
        <w:rPr>
          <w:rFonts w:cs="方正仿宋简体" w:asciiTheme="minorEastAsia" w:hAnsiTheme="minorEastAsia"/>
          <w:sz w:val="28"/>
          <w:szCs w:val="28"/>
        </w:rPr>
        <w:t>T</w:t>
      </w:r>
      <w:r>
        <w:rPr>
          <w:rFonts w:hint="eastAsia" w:cs="方正仿宋简体" w:asciiTheme="minorEastAsia" w:hAnsiTheme="minorEastAsia"/>
          <w:sz w:val="28"/>
          <w:szCs w:val="28"/>
        </w:rPr>
        <w:t xml:space="preserve"> 3987-2021 农业信息资源分类与编码</w:t>
      </w:r>
    </w:p>
    <w:p>
      <w:pPr>
        <w:snapToGrid w:val="0"/>
        <w:spacing w:line="360" w:lineRule="auto"/>
        <w:ind w:firstLine="560" w:firstLineChars="200"/>
        <w:rPr>
          <w:rFonts w:cs="方正仿宋简体" w:asciiTheme="minorEastAsia" w:hAnsiTheme="minorEastAsia"/>
          <w:sz w:val="28"/>
          <w:szCs w:val="28"/>
        </w:rPr>
      </w:pPr>
      <w:r>
        <w:rPr>
          <w:rFonts w:hint="eastAsia" w:cs="方正仿宋简体" w:asciiTheme="minorEastAsia" w:hAnsiTheme="minorEastAsia"/>
          <w:sz w:val="28"/>
          <w:szCs w:val="28"/>
        </w:rPr>
        <w:t>[</w:t>
      </w:r>
      <w:r>
        <w:rPr>
          <w:rFonts w:cs="方正仿宋简体" w:asciiTheme="minorEastAsia" w:hAnsiTheme="minorEastAsia"/>
          <w:sz w:val="28"/>
          <w:szCs w:val="28"/>
        </w:rPr>
        <w:t>11</w:t>
      </w:r>
      <w:r>
        <w:rPr>
          <w:rFonts w:hint="eastAsia" w:cs="方正仿宋简体" w:asciiTheme="minorEastAsia" w:hAnsiTheme="minorEastAsia"/>
          <w:sz w:val="28"/>
          <w:szCs w:val="28"/>
        </w:rPr>
        <w:t>]</w:t>
      </w:r>
      <w:r>
        <w:rPr>
          <w:rFonts w:cs="方正仿宋简体" w:asciiTheme="minorEastAsia" w:hAnsiTheme="minorEastAsia"/>
          <w:sz w:val="28"/>
          <w:szCs w:val="28"/>
        </w:rPr>
        <w:t xml:space="preserve"> </w:t>
      </w:r>
      <w:r>
        <w:rPr>
          <w:rFonts w:hint="eastAsia" w:cs="方正仿宋简体" w:asciiTheme="minorEastAsia" w:hAnsiTheme="minorEastAsia"/>
          <w:sz w:val="28"/>
          <w:szCs w:val="28"/>
        </w:rPr>
        <w:t>YD</w:t>
      </w:r>
      <w:r>
        <w:rPr>
          <w:rFonts w:cs="方正仿宋简体" w:asciiTheme="minorEastAsia" w:hAnsiTheme="minorEastAsia"/>
          <w:sz w:val="28"/>
          <w:szCs w:val="28"/>
        </w:rPr>
        <w:t>/</w:t>
      </w:r>
      <w:r>
        <w:rPr>
          <w:rFonts w:hint="eastAsia" w:cs="方正仿宋简体" w:asciiTheme="minorEastAsia" w:hAnsiTheme="minorEastAsia"/>
          <w:sz w:val="28"/>
          <w:szCs w:val="28"/>
        </w:rPr>
        <w:t>T 3747-2020 区块链技术架构安全要求</w:t>
      </w:r>
    </w:p>
    <w:p>
      <w:pPr>
        <w:snapToGrid w:val="0"/>
        <w:spacing w:line="360" w:lineRule="auto"/>
        <w:ind w:firstLine="560" w:firstLineChars="200"/>
        <w:rPr>
          <w:rFonts w:cs="方正仿宋简体" w:asciiTheme="minorEastAsia" w:hAnsiTheme="minorEastAsia"/>
          <w:sz w:val="28"/>
          <w:szCs w:val="28"/>
        </w:rPr>
      </w:pPr>
      <w:r>
        <w:rPr>
          <w:rFonts w:hint="eastAsia" w:cs="方正仿宋简体" w:asciiTheme="minorEastAsia" w:hAnsiTheme="minorEastAsia"/>
          <w:sz w:val="28"/>
          <w:szCs w:val="28"/>
        </w:rPr>
        <w:t>[</w:t>
      </w:r>
      <w:r>
        <w:rPr>
          <w:rFonts w:cs="方正仿宋简体" w:asciiTheme="minorEastAsia" w:hAnsiTheme="minorEastAsia"/>
          <w:sz w:val="28"/>
          <w:szCs w:val="28"/>
        </w:rPr>
        <w:t>1</w:t>
      </w:r>
      <w:r>
        <w:rPr>
          <w:rFonts w:hint="eastAsia" w:cs="方正仿宋简体" w:asciiTheme="minorEastAsia" w:hAnsiTheme="minorEastAsia"/>
          <w:sz w:val="28"/>
          <w:szCs w:val="28"/>
        </w:rPr>
        <w:t>2]</w:t>
      </w:r>
      <w:r>
        <w:rPr>
          <w:rFonts w:cs="方正仿宋简体" w:asciiTheme="minorEastAsia" w:hAnsiTheme="minorEastAsia"/>
          <w:sz w:val="28"/>
          <w:szCs w:val="28"/>
        </w:rPr>
        <w:t xml:space="preserve"> </w:t>
      </w:r>
      <w:r>
        <w:rPr>
          <w:rFonts w:hint="eastAsia" w:cs="方正仿宋简体" w:asciiTheme="minorEastAsia" w:hAnsiTheme="minorEastAsia"/>
          <w:sz w:val="28"/>
          <w:szCs w:val="28"/>
        </w:rPr>
        <w:t>ISO 22739:2020 区块链和分布式账本技术</w:t>
      </w:r>
    </w:p>
    <w:p>
      <w:pPr>
        <w:snapToGrid w:val="0"/>
        <w:spacing w:line="360" w:lineRule="auto"/>
        <w:ind w:firstLine="560" w:firstLineChars="200"/>
        <w:rPr>
          <w:rFonts w:cs="方正仿宋简体" w:asciiTheme="minorEastAsia" w:hAnsiTheme="minorEastAsia"/>
          <w:sz w:val="28"/>
          <w:szCs w:val="28"/>
        </w:rPr>
      </w:pPr>
      <w:r>
        <w:rPr>
          <w:rFonts w:cs="方正仿宋简体" w:asciiTheme="minorEastAsia" w:hAnsiTheme="minorEastAsia"/>
          <w:sz w:val="28"/>
          <w:szCs w:val="28"/>
        </w:rPr>
        <w:t>[</w:t>
      </w:r>
      <w:r>
        <w:rPr>
          <w:rFonts w:hint="eastAsia" w:cs="方正仿宋简体" w:asciiTheme="minorEastAsia" w:hAnsiTheme="minorEastAsia"/>
          <w:sz w:val="28"/>
          <w:szCs w:val="28"/>
        </w:rPr>
        <w:t>1</w:t>
      </w:r>
      <w:r>
        <w:rPr>
          <w:rFonts w:cs="方正仿宋简体" w:asciiTheme="minorEastAsia" w:hAnsiTheme="minorEastAsia"/>
          <w:sz w:val="28"/>
          <w:szCs w:val="28"/>
        </w:rPr>
        <w:t>3]</w:t>
      </w:r>
      <w:r>
        <w:rPr>
          <w:rFonts w:hint="eastAsia" w:cs="方正仿宋简体" w:asciiTheme="minorEastAsia" w:hAnsiTheme="minorEastAsia"/>
          <w:sz w:val="28"/>
          <w:szCs w:val="28"/>
        </w:rPr>
        <w:t xml:space="preserve"> DB15/T 2478-2021 基于区块链的农畜产品追溯平台规范</w:t>
      </w:r>
    </w:p>
    <w:p>
      <w:pPr>
        <w:snapToGrid w:val="0"/>
        <w:spacing w:line="360" w:lineRule="auto"/>
        <w:ind w:firstLine="560" w:firstLineChars="200"/>
        <w:rPr>
          <w:rFonts w:cs="方正仿宋简体" w:asciiTheme="minorEastAsia" w:hAnsiTheme="minorEastAsia"/>
          <w:kern w:val="0"/>
          <w:sz w:val="28"/>
          <w:szCs w:val="28"/>
        </w:rPr>
      </w:pPr>
      <w:r>
        <w:rPr>
          <w:rFonts w:hint="eastAsia" w:cs="方正仿宋简体" w:asciiTheme="minorEastAsia" w:hAnsiTheme="minorEastAsia"/>
          <w:kern w:val="0"/>
          <w:sz w:val="28"/>
          <w:szCs w:val="28"/>
        </w:rPr>
        <w:t>标准制定期间，起草工作组多次征求农业产业、质量标准、农业信息、区块链存证等方面专家的意见，查阅了更多的参考资料，对相关内容进行了修改完善。</w:t>
      </w:r>
    </w:p>
    <w:p>
      <w:pPr>
        <w:snapToGrid w:val="0"/>
        <w:spacing w:line="360" w:lineRule="auto"/>
        <w:ind w:firstLine="560" w:firstLineChars="200"/>
        <w:rPr>
          <w:rFonts w:cs="方正仿宋简体" w:asciiTheme="minorEastAsia" w:hAnsiTheme="minorEastAsia"/>
          <w:kern w:val="0"/>
          <w:sz w:val="28"/>
          <w:szCs w:val="28"/>
        </w:rPr>
      </w:pPr>
      <w:r>
        <w:rPr>
          <w:rFonts w:hint="eastAsia" w:cs="方正仿宋简体" w:asciiTheme="minorEastAsia" w:hAnsiTheme="minorEastAsia"/>
          <w:kern w:val="0"/>
          <w:sz w:val="28"/>
          <w:szCs w:val="28"/>
        </w:rPr>
        <w:t>2023年5月～6月：完成了《区块链+蔬菜质量安全溯源信息采集规范》讨论稿初稿，并与农产品质量安全溯源的相关专家进行内部研讨，征求意见，根据修改意见对本标准的框架及内容进行修改完善。</w:t>
      </w:r>
    </w:p>
    <w:p>
      <w:pPr>
        <w:snapToGrid w:val="0"/>
        <w:spacing w:line="360" w:lineRule="auto"/>
        <w:ind w:firstLine="560" w:firstLineChars="200"/>
        <w:rPr>
          <w:rFonts w:cs="方正仿宋简体" w:asciiTheme="minorEastAsia" w:hAnsiTheme="minorEastAsia"/>
          <w:kern w:val="0"/>
          <w:sz w:val="28"/>
          <w:szCs w:val="28"/>
        </w:rPr>
      </w:pPr>
      <w:r>
        <w:rPr>
          <w:rFonts w:hint="eastAsia" w:cs="方正仿宋简体" w:asciiTheme="minorEastAsia" w:hAnsiTheme="minorEastAsia"/>
          <w:kern w:val="0"/>
          <w:sz w:val="28"/>
          <w:szCs w:val="28"/>
        </w:rPr>
        <w:t>2023年7月～8月:起草工作组通过线上问卷形式启动第一轮专家评审，根据专家提出的修改意见结合实际生产针对初稿进行完善优化，并进行调研查证。</w:t>
      </w:r>
    </w:p>
    <w:p>
      <w:pPr>
        <w:snapToGrid w:val="0"/>
        <w:spacing w:line="360" w:lineRule="auto"/>
        <w:ind w:firstLine="560" w:firstLineChars="200"/>
        <w:rPr>
          <w:rFonts w:cs="方正仿宋简体" w:asciiTheme="minorEastAsia" w:hAnsiTheme="minorEastAsia"/>
          <w:kern w:val="0"/>
          <w:sz w:val="28"/>
          <w:szCs w:val="28"/>
        </w:rPr>
      </w:pPr>
      <w:r>
        <w:rPr>
          <w:rFonts w:hint="eastAsia" w:cs="方正仿宋简体" w:asciiTheme="minorEastAsia" w:hAnsiTheme="minorEastAsia"/>
          <w:kern w:val="0"/>
          <w:sz w:val="28"/>
          <w:szCs w:val="28"/>
        </w:rPr>
        <w:t>2023年9月～10月：起草工作组启动第二轮专家评审，专家分别对标准讨论稿中的重点内容、注意事项及对编制说明进行建议。根据专家提出的建议对标准草案和编制说明进行优化完善，并将结果在标准草案和编制说明中体现，形成《区块链+蔬菜质量安全溯源信息采集规范》标准征求意见稿初稿和《区块链+蔬菜质量安全溯源信息采集规范》编制说明征求意见稿初稿。</w:t>
      </w:r>
    </w:p>
    <w:p>
      <w:pPr>
        <w:snapToGrid w:val="0"/>
        <w:spacing w:line="360" w:lineRule="auto"/>
        <w:ind w:firstLine="560" w:firstLineChars="200"/>
        <w:rPr>
          <w:rFonts w:cs="Times New Roman" w:asciiTheme="minorEastAsia" w:hAnsiTheme="minorEastAsia"/>
          <w:sz w:val="28"/>
          <w:szCs w:val="28"/>
        </w:rPr>
      </w:pPr>
      <w:r>
        <w:rPr>
          <w:rFonts w:hint="eastAsia" w:cs="方正仿宋简体" w:asciiTheme="minorEastAsia" w:hAnsiTheme="minorEastAsia"/>
          <w:kern w:val="0"/>
          <w:sz w:val="28"/>
          <w:szCs w:val="28"/>
        </w:rPr>
        <w:t>2023年11～12月：起草工作组就《区块链+蔬菜质量安全溯源信息采集规范》标准征求意见稿初稿再次向专家和相关单位征集意见。根据多方意见及建议，工作组进一步完善标准文本，最终形成《区块链+蔬菜质量安全溯源信息采集规范》标准征求意见稿和《区块链+蔬菜质量安全溯源信息采集规范》标准编制说明。</w:t>
      </w:r>
    </w:p>
    <w:p>
      <w:pPr>
        <w:snapToGrid w:val="0"/>
        <w:spacing w:line="360" w:lineRule="auto"/>
        <w:ind w:firstLine="562" w:firstLineChars="200"/>
        <w:rPr>
          <w:rFonts w:ascii="宋体" w:hAnsi="宋体" w:eastAsia="宋体" w:cs="Times New Roman"/>
          <w:b/>
          <w:sz w:val="28"/>
          <w:szCs w:val="28"/>
        </w:rPr>
      </w:pPr>
      <w:r>
        <w:rPr>
          <w:rFonts w:ascii="宋体" w:hAnsi="宋体" w:eastAsia="宋体" w:cs="Times New Roman"/>
          <w:b/>
          <w:sz w:val="28"/>
          <w:szCs w:val="28"/>
        </w:rPr>
        <w:t>3.征求意见</w:t>
      </w:r>
      <w:r>
        <w:rPr>
          <w:rFonts w:hint="eastAsia" w:ascii="宋体" w:hAnsi="宋体" w:eastAsia="宋体" w:cs="Times New Roman"/>
          <w:b/>
          <w:sz w:val="28"/>
          <w:szCs w:val="28"/>
        </w:rPr>
        <w:t>和处理阶段</w:t>
      </w:r>
    </w:p>
    <w:p>
      <w:pPr>
        <w:snapToGrid w:val="0"/>
        <w:spacing w:line="360" w:lineRule="auto"/>
        <w:ind w:firstLine="560" w:firstLineChars="200"/>
        <w:rPr>
          <w:rFonts w:cs="方正仿宋简体" w:asciiTheme="minorEastAsia" w:hAnsiTheme="minorEastAsia"/>
          <w:b/>
          <w:bCs/>
          <w:kern w:val="0"/>
          <w:sz w:val="28"/>
          <w:szCs w:val="28"/>
          <w:highlight w:val="none"/>
        </w:rPr>
      </w:pPr>
      <w:r>
        <w:rPr>
          <w:rFonts w:hint="eastAsia" w:cs="方正仿宋简体" w:asciiTheme="minorEastAsia" w:hAnsiTheme="minorEastAsia"/>
          <w:kern w:val="0"/>
          <w:sz w:val="28"/>
          <w:szCs w:val="28"/>
          <w:highlight w:val="none"/>
        </w:rPr>
        <w:t>202</w:t>
      </w:r>
      <w:r>
        <w:rPr>
          <w:rFonts w:cs="方正仿宋简体" w:asciiTheme="minorEastAsia" w:hAnsiTheme="minorEastAsia"/>
          <w:kern w:val="0"/>
          <w:sz w:val="28"/>
          <w:szCs w:val="28"/>
          <w:highlight w:val="none"/>
        </w:rPr>
        <w:t>4</w:t>
      </w:r>
      <w:r>
        <w:rPr>
          <w:rFonts w:hint="eastAsia" w:cs="方正仿宋简体" w:asciiTheme="minorEastAsia" w:hAnsiTheme="minorEastAsia"/>
          <w:kern w:val="0"/>
          <w:sz w:val="28"/>
          <w:szCs w:val="28"/>
          <w:highlight w:val="none"/>
        </w:rPr>
        <w:t>年1月，起草工作组将本标准通过中国农业信息网在全国范围内开展了为期1个月的标准征求意见工作</w:t>
      </w:r>
      <w:bookmarkStart w:id="20" w:name="_GoBack"/>
      <w:bookmarkEnd w:id="20"/>
      <w:r>
        <w:rPr>
          <w:rFonts w:hint="eastAsia" w:cs="方正仿宋简体" w:asciiTheme="minorEastAsia" w:hAnsiTheme="minorEastAsia"/>
          <w:b/>
          <w:bCs/>
          <w:kern w:val="0"/>
          <w:sz w:val="28"/>
          <w:szCs w:val="28"/>
          <w:highlight w:val="none"/>
        </w:rPr>
        <w:t>。</w:t>
      </w:r>
    </w:p>
    <w:p>
      <w:pPr>
        <w:snapToGrid w:val="0"/>
        <w:spacing w:line="360" w:lineRule="auto"/>
        <w:ind w:firstLine="560" w:firstLineChars="200"/>
        <w:rPr>
          <w:rFonts w:cs="方正仿宋简体" w:asciiTheme="minorEastAsia" w:hAnsiTheme="minorEastAsia"/>
          <w:kern w:val="0"/>
          <w:sz w:val="28"/>
          <w:szCs w:val="28"/>
        </w:rPr>
      </w:pPr>
      <w:r>
        <w:rPr>
          <w:rFonts w:hint="eastAsia" w:cs="方正仿宋简体" w:asciiTheme="minorEastAsia" w:hAnsiTheme="minorEastAsia"/>
          <w:kern w:val="0"/>
          <w:sz w:val="28"/>
          <w:szCs w:val="28"/>
        </w:rPr>
        <w:t>同期，起草工作组将本标准的征求意见稿、编制说明通过邮件形式发给19家相关国家和地方农业行业管理机构、相关科研院所、企业的有关专家征求共计两轮意见，涵盖了北京、山东、云南、四川等不同省份，共收到反馈意见25份，共反馈意见117条。</w:t>
      </w:r>
    </w:p>
    <w:p>
      <w:pPr>
        <w:snapToGrid w:val="0"/>
        <w:spacing w:line="360" w:lineRule="auto"/>
        <w:ind w:firstLine="560" w:firstLineChars="200"/>
        <w:rPr>
          <w:rFonts w:cs="方正仿宋简体" w:asciiTheme="minorEastAsia" w:hAnsiTheme="minorEastAsia"/>
          <w:kern w:val="0"/>
          <w:sz w:val="28"/>
          <w:szCs w:val="28"/>
        </w:rPr>
      </w:pPr>
      <w:r>
        <w:rPr>
          <w:rFonts w:hint="eastAsia" w:cs="方正仿宋简体" w:asciiTheme="minorEastAsia" w:hAnsiTheme="minorEastAsia"/>
          <w:kern w:val="0"/>
          <w:sz w:val="28"/>
          <w:szCs w:val="28"/>
        </w:rPr>
        <w:t>2023年8～11月，起草工作组针对两轮专家117条评审意见进行多次讨论并形成意见汇总、组织相关专家对意见汇总逐条审核。针对反馈意见中较难处理的建议，标准起草组认真查阅相关文献、吸取相关项目经验，对此类问题逐条做出较为妥善处理。其中，采纳各单位及专家建议</w:t>
      </w:r>
      <w:r>
        <w:rPr>
          <w:rFonts w:cs="方正仿宋简体" w:asciiTheme="minorEastAsia" w:hAnsiTheme="minorEastAsia"/>
          <w:kern w:val="0"/>
          <w:sz w:val="28"/>
          <w:szCs w:val="28"/>
        </w:rPr>
        <w:t>82</w:t>
      </w:r>
      <w:r>
        <w:rPr>
          <w:rFonts w:hint="eastAsia" w:cs="方正仿宋简体" w:asciiTheme="minorEastAsia" w:hAnsiTheme="minorEastAsia"/>
          <w:kern w:val="0"/>
          <w:sz w:val="28"/>
          <w:szCs w:val="28"/>
        </w:rPr>
        <w:t>条，部分采纳2</w:t>
      </w:r>
      <w:r>
        <w:rPr>
          <w:rFonts w:cs="方正仿宋简体" w:asciiTheme="minorEastAsia" w:hAnsiTheme="minorEastAsia"/>
          <w:kern w:val="0"/>
          <w:sz w:val="28"/>
          <w:szCs w:val="28"/>
        </w:rPr>
        <w:t>0</w:t>
      </w:r>
      <w:r>
        <w:rPr>
          <w:rFonts w:hint="eastAsia" w:cs="方正仿宋简体" w:asciiTheme="minorEastAsia" w:hAnsiTheme="minorEastAsia"/>
          <w:kern w:val="0"/>
          <w:sz w:val="28"/>
          <w:szCs w:val="28"/>
        </w:rPr>
        <w:t>条，未采纳</w:t>
      </w:r>
      <w:r>
        <w:rPr>
          <w:rFonts w:cs="方正仿宋简体" w:asciiTheme="minorEastAsia" w:hAnsiTheme="minorEastAsia"/>
          <w:kern w:val="0"/>
          <w:sz w:val="28"/>
          <w:szCs w:val="28"/>
        </w:rPr>
        <w:t>1</w:t>
      </w:r>
      <w:r>
        <w:rPr>
          <w:rFonts w:hint="eastAsia" w:cs="方正仿宋简体" w:asciiTheme="minorEastAsia" w:hAnsiTheme="minorEastAsia"/>
          <w:kern w:val="0"/>
          <w:sz w:val="28"/>
          <w:szCs w:val="28"/>
        </w:rPr>
        <w:t>5条，对部分采纳和未采纳意见给出说明，未采纳意见多为编辑性修改意见。</w:t>
      </w:r>
    </w:p>
    <w:p>
      <w:pPr>
        <w:snapToGrid w:val="0"/>
        <w:spacing w:line="360" w:lineRule="auto"/>
        <w:ind w:firstLine="560" w:firstLineChars="200"/>
        <w:rPr>
          <w:rFonts w:cs="方正仿宋简体" w:asciiTheme="minorEastAsia" w:hAnsiTheme="minorEastAsia"/>
          <w:kern w:val="0"/>
          <w:sz w:val="28"/>
          <w:szCs w:val="28"/>
        </w:rPr>
      </w:pPr>
      <w:r>
        <w:rPr>
          <w:rFonts w:hint="eastAsia" w:cs="方正仿宋简体" w:asciiTheme="minorEastAsia" w:hAnsiTheme="minorEastAsia"/>
          <w:kern w:val="0"/>
          <w:sz w:val="28"/>
          <w:szCs w:val="28"/>
        </w:rPr>
        <w:t>预计在2024年</w:t>
      </w:r>
      <w:r>
        <w:rPr>
          <w:rFonts w:cs="方正仿宋简体" w:asciiTheme="minorEastAsia" w:hAnsiTheme="minorEastAsia"/>
          <w:kern w:val="0"/>
          <w:sz w:val="28"/>
          <w:szCs w:val="28"/>
        </w:rPr>
        <w:t>3</w:t>
      </w:r>
      <w:r>
        <w:rPr>
          <w:rFonts w:hint="eastAsia" w:cs="方正仿宋简体" w:asciiTheme="minorEastAsia" w:hAnsiTheme="minorEastAsia"/>
          <w:kern w:val="0"/>
          <w:sz w:val="28"/>
          <w:szCs w:val="28"/>
        </w:rPr>
        <w:t>月，由农业农村部农业信息化标准化技术委员会在北京组织有关专家，通过视频会议形式再次对本标准征求意见稿进行研讨。后续起草工作组会根据专家意见，进一步调研蔬菜企业，收集整理修改意见，根据意见修改完善本标准，形成标准送审稿。</w:t>
      </w:r>
    </w:p>
    <w:p>
      <w:pPr>
        <w:snapToGrid w:val="0"/>
        <w:spacing w:line="360" w:lineRule="auto"/>
        <w:ind w:firstLine="562" w:firstLineChars="200"/>
        <w:rPr>
          <w:rFonts w:ascii="宋体" w:hAnsi="宋体" w:eastAsia="宋体" w:cs="Times New Roman"/>
          <w:b/>
          <w:sz w:val="28"/>
          <w:szCs w:val="28"/>
          <w:highlight w:val="yellow"/>
        </w:rPr>
      </w:pPr>
      <w:r>
        <w:rPr>
          <w:rFonts w:ascii="宋体" w:hAnsi="宋体" w:eastAsia="宋体" w:cs="Times New Roman"/>
          <w:b/>
          <w:sz w:val="28"/>
          <w:szCs w:val="28"/>
          <w:highlight w:val="yellow"/>
        </w:rPr>
        <w:t>4.审查阶段</w:t>
      </w:r>
      <w:r>
        <w:rPr>
          <w:rFonts w:hint="eastAsia" w:ascii="宋体" w:hAnsi="宋体" w:eastAsia="宋体" w:cs="Times New Roman"/>
          <w:b/>
          <w:sz w:val="28"/>
          <w:szCs w:val="28"/>
          <w:highlight w:val="yellow"/>
        </w:rPr>
        <w:t>（须完成送审会后补充）</w:t>
      </w:r>
    </w:p>
    <w:p>
      <w:pPr>
        <w:snapToGrid w:val="0"/>
        <w:spacing w:line="360" w:lineRule="auto"/>
        <w:ind w:firstLine="560" w:firstLineChars="200"/>
        <w:rPr>
          <w:rFonts w:ascii="Times New Roman" w:hAnsi="Times New Roman" w:cs="Times New Roman"/>
          <w:sz w:val="28"/>
          <w:szCs w:val="28"/>
          <w:highlight w:val="yellow"/>
        </w:rPr>
      </w:pPr>
      <w:r>
        <w:rPr>
          <w:rFonts w:hint="eastAsia" w:ascii="Times New Roman" w:hAnsi="Times New Roman" w:cs="Times New Roman"/>
          <w:sz w:val="28"/>
          <w:szCs w:val="28"/>
          <w:highlight w:val="yellow"/>
        </w:rPr>
        <w:t>（1）</w:t>
      </w:r>
      <w:r>
        <w:rPr>
          <w:rFonts w:ascii="Times New Roman" w:hAnsi="Times New Roman" w:cs="Times New Roman"/>
          <w:sz w:val="28"/>
          <w:szCs w:val="28"/>
          <w:highlight w:val="yellow"/>
        </w:rPr>
        <w:t>说明时间节点；介绍标准审查情况</w:t>
      </w:r>
    </w:p>
    <w:p>
      <w:pPr>
        <w:snapToGrid w:val="0"/>
        <w:spacing w:line="360" w:lineRule="auto"/>
        <w:ind w:firstLine="560" w:firstLineChars="200"/>
        <w:rPr>
          <w:rFonts w:ascii="Times New Roman" w:hAnsi="Times New Roman" w:cs="Times New Roman"/>
          <w:sz w:val="28"/>
          <w:szCs w:val="28"/>
          <w:highlight w:val="yellow"/>
        </w:rPr>
      </w:pPr>
      <w:r>
        <w:rPr>
          <w:rFonts w:ascii="Times New Roman" w:hAnsi="Times New Roman" w:cs="Times New Roman"/>
          <w:sz w:val="28"/>
          <w:szCs w:val="28"/>
          <w:highlight w:val="yellow"/>
        </w:rPr>
        <w:t>包括审查的组织单位及审查方式等。</w:t>
      </w:r>
    </w:p>
    <w:p>
      <w:pPr>
        <w:snapToGrid w:val="0"/>
        <w:spacing w:line="360" w:lineRule="auto"/>
        <w:ind w:firstLine="560" w:firstLineChars="200"/>
        <w:rPr>
          <w:rFonts w:ascii="Times New Roman" w:hAnsi="Times New Roman" w:cs="Times New Roman"/>
          <w:sz w:val="28"/>
          <w:szCs w:val="28"/>
          <w:highlight w:val="yellow"/>
        </w:rPr>
      </w:pPr>
      <w:r>
        <w:rPr>
          <w:rFonts w:ascii="Times New Roman" w:hAnsi="Times New Roman" w:cs="Times New Roman"/>
          <w:sz w:val="28"/>
          <w:szCs w:val="28"/>
          <w:highlight w:val="yellow"/>
        </w:rPr>
        <w:fldChar w:fldCharType="begin"/>
      </w:r>
      <w:r>
        <w:rPr>
          <w:rFonts w:ascii="Times New Roman" w:hAnsi="Times New Roman" w:cs="Times New Roman"/>
          <w:sz w:val="28"/>
          <w:szCs w:val="28"/>
          <w:highlight w:val="yellow"/>
        </w:rPr>
        <w:instrText xml:space="preserve"> = 1 \* GB3 \* MERGEFORMAT </w:instrText>
      </w:r>
      <w:r>
        <w:rPr>
          <w:rFonts w:ascii="Times New Roman" w:hAnsi="Times New Roman" w:cs="Times New Roman"/>
          <w:sz w:val="28"/>
          <w:szCs w:val="28"/>
          <w:highlight w:val="yellow"/>
        </w:rPr>
        <w:fldChar w:fldCharType="separate"/>
      </w:r>
      <w:r>
        <w:rPr>
          <w:highlight w:val="yellow"/>
        </w:rPr>
        <w:t>①</w:t>
      </w:r>
      <w:r>
        <w:rPr>
          <w:rFonts w:ascii="Times New Roman" w:hAnsi="Times New Roman" w:cs="Times New Roman"/>
          <w:sz w:val="28"/>
          <w:szCs w:val="28"/>
          <w:highlight w:val="yellow"/>
        </w:rPr>
        <w:fldChar w:fldCharType="end"/>
      </w:r>
      <w:r>
        <w:rPr>
          <w:rFonts w:ascii="Times New Roman" w:hAnsi="Times New Roman" w:cs="Times New Roman"/>
          <w:sz w:val="28"/>
          <w:szCs w:val="28"/>
          <w:highlight w:val="yellow"/>
        </w:rPr>
        <w:t>会议审查的基本情况</w:t>
      </w:r>
    </w:p>
    <w:p>
      <w:pPr>
        <w:snapToGrid w:val="0"/>
        <w:spacing w:line="360" w:lineRule="auto"/>
        <w:ind w:firstLine="560" w:firstLineChars="200"/>
        <w:rPr>
          <w:rFonts w:ascii="Times New Roman" w:hAnsi="Times New Roman" w:cs="Times New Roman"/>
          <w:sz w:val="28"/>
          <w:szCs w:val="28"/>
          <w:highlight w:val="yellow"/>
        </w:rPr>
      </w:pPr>
      <w:r>
        <w:rPr>
          <w:rFonts w:ascii="Times New Roman" w:hAnsi="Times New Roman" w:cs="Times New Roman"/>
          <w:sz w:val="28"/>
          <w:szCs w:val="28"/>
          <w:highlight w:val="yellow"/>
        </w:rPr>
        <w:t>包括审查会议时间</w:t>
      </w:r>
      <w:r>
        <w:rPr>
          <w:rFonts w:hint="eastAsia" w:ascii="Times New Roman" w:hAnsi="Times New Roman" w:cs="Times New Roman"/>
          <w:sz w:val="28"/>
          <w:szCs w:val="28"/>
          <w:highlight w:val="yellow"/>
        </w:rPr>
        <w:t>、</w:t>
      </w:r>
      <w:r>
        <w:rPr>
          <w:rFonts w:ascii="Times New Roman" w:hAnsi="Times New Roman" w:cs="Times New Roman"/>
          <w:sz w:val="28"/>
          <w:szCs w:val="28"/>
          <w:highlight w:val="yellow"/>
        </w:rPr>
        <w:t>地点</w:t>
      </w:r>
      <w:r>
        <w:rPr>
          <w:rFonts w:hint="eastAsia" w:ascii="Times New Roman" w:hAnsi="Times New Roman" w:cs="Times New Roman"/>
          <w:sz w:val="28"/>
          <w:szCs w:val="28"/>
          <w:highlight w:val="yellow"/>
        </w:rPr>
        <w:t>、</w:t>
      </w:r>
      <w:r>
        <w:rPr>
          <w:rFonts w:ascii="Times New Roman" w:hAnsi="Times New Roman" w:cs="Times New Roman"/>
          <w:sz w:val="28"/>
          <w:szCs w:val="28"/>
          <w:highlight w:val="yellow"/>
        </w:rPr>
        <w:t>组织方</w:t>
      </w:r>
      <w:r>
        <w:rPr>
          <w:rFonts w:hint="eastAsia" w:ascii="Times New Roman" w:hAnsi="Times New Roman" w:cs="Times New Roman"/>
          <w:sz w:val="28"/>
          <w:szCs w:val="28"/>
          <w:highlight w:val="yellow"/>
        </w:rPr>
        <w:t>、</w:t>
      </w:r>
      <w:r>
        <w:rPr>
          <w:rFonts w:ascii="Times New Roman" w:hAnsi="Times New Roman" w:cs="Times New Roman"/>
          <w:sz w:val="28"/>
          <w:szCs w:val="28"/>
          <w:highlight w:val="yellow"/>
        </w:rPr>
        <w:t>送审材料、委员及专家出席</w:t>
      </w:r>
      <w:r>
        <w:rPr>
          <w:rFonts w:hint="eastAsia" w:ascii="Times New Roman" w:hAnsi="Times New Roman" w:cs="Times New Roman"/>
          <w:sz w:val="28"/>
          <w:szCs w:val="28"/>
          <w:highlight w:val="yellow"/>
        </w:rPr>
        <w:t>情况</w:t>
      </w:r>
      <w:r>
        <w:rPr>
          <w:rFonts w:ascii="Times New Roman" w:hAnsi="Times New Roman" w:cs="Times New Roman"/>
          <w:sz w:val="28"/>
          <w:szCs w:val="28"/>
          <w:highlight w:val="yellow"/>
        </w:rPr>
        <w:t>、委员出席率</w:t>
      </w:r>
      <w:r>
        <w:rPr>
          <w:rFonts w:hint="eastAsia" w:ascii="Times New Roman" w:hAnsi="Times New Roman" w:cs="Times New Roman"/>
          <w:sz w:val="28"/>
          <w:szCs w:val="28"/>
          <w:highlight w:val="yellow"/>
        </w:rPr>
        <w:t>、</w:t>
      </w:r>
      <w:r>
        <w:rPr>
          <w:rFonts w:ascii="Times New Roman" w:hAnsi="Times New Roman" w:cs="Times New Roman"/>
          <w:sz w:val="28"/>
          <w:szCs w:val="28"/>
          <w:highlight w:val="yellow"/>
        </w:rPr>
        <w:t>会议纪要和审查结论</w:t>
      </w:r>
      <w:r>
        <w:rPr>
          <w:rFonts w:hint="eastAsia" w:ascii="Times New Roman" w:hAnsi="Times New Roman" w:cs="Times New Roman"/>
          <w:sz w:val="28"/>
          <w:szCs w:val="28"/>
          <w:highlight w:val="yellow"/>
        </w:rPr>
        <w:t>（若采取投票表决方式，需记录投票情况；若采取会商表决，需记录会商结论，审查不通过的还需记录不通过的主要原因）</w:t>
      </w:r>
      <w:r>
        <w:rPr>
          <w:rFonts w:ascii="Times New Roman" w:hAnsi="Times New Roman" w:cs="Times New Roman"/>
          <w:sz w:val="28"/>
          <w:szCs w:val="28"/>
          <w:highlight w:val="yellow"/>
        </w:rPr>
        <w:t>等。</w:t>
      </w:r>
    </w:p>
    <w:p>
      <w:pPr>
        <w:snapToGrid w:val="0"/>
        <w:spacing w:line="360" w:lineRule="auto"/>
        <w:ind w:firstLine="560" w:firstLineChars="200"/>
        <w:rPr>
          <w:rFonts w:ascii="Times New Roman" w:hAnsi="Times New Roman" w:cs="Times New Roman"/>
          <w:sz w:val="28"/>
          <w:szCs w:val="28"/>
          <w:highlight w:val="yellow"/>
        </w:rPr>
      </w:pPr>
      <w:r>
        <w:rPr>
          <w:rFonts w:ascii="Times New Roman" w:hAnsi="Times New Roman" w:cs="Times New Roman"/>
          <w:sz w:val="28"/>
          <w:szCs w:val="28"/>
          <w:highlight w:val="yellow"/>
        </w:rPr>
        <w:fldChar w:fldCharType="begin"/>
      </w:r>
      <w:r>
        <w:rPr>
          <w:rFonts w:ascii="Times New Roman" w:hAnsi="Times New Roman" w:cs="Times New Roman"/>
          <w:sz w:val="28"/>
          <w:szCs w:val="28"/>
          <w:highlight w:val="yellow"/>
        </w:rPr>
        <w:instrText xml:space="preserve"> = 2 \* GB3 \* MERGEFORMAT </w:instrText>
      </w:r>
      <w:r>
        <w:rPr>
          <w:rFonts w:ascii="Times New Roman" w:hAnsi="Times New Roman" w:cs="Times New Roman"/>
          <w:sz w:val="28"/>
          <w:szCs w:val="28"/>
          <w:highlight w:val="yellow"/>
        </w:rPr>
        <w:fldChar w:fldCharType="separate"/>
      </w:r>
      <w:r>
        <w:rPr>
          <w:highlight w:val="yellow"/>
        </w:rPr>
        <w:t>②</w:t>
      </w:r>
      <w:r>
        <w:rPr>
          <w:rFonts w:ascii="Times New Roman" w:hAnsi="Times New Roman" w:cs="Times New Roman"/>
          <w:sz w:val="28"/>
          <w:szCs w:val="28"/>
          <w:highlight w:val="yellow"/>
        </w:rPr>
        <w:fldChar w:fldCharType="end"/>
      </w:r>
      <w:r>
        <w:rPr>
          <w:rFonts w:ascii="Times New Roman" w:hAnsi="Times New Roman" w:cs="Times New Roman"/>
          <w:sz w:val="28"/>
          <w:szCs w:val="28"/>
          <w:highlight w:val="yellow"/>
        </w:rPr>
        <w:t>函审的基本情况</w:t>
      </w:r>
    </w:p>
    <w:p>
      <w:pPr>
        <w:snapToGrid w:val="0"/>
        <w:spacing w:line="360" w:lineRule="auto"/>
        <w:ind w:firstLine="560" w:firstLineChars="200"/>
        <w:rPr>
          <w:rFonts w:ascii="Times New Roman" w:hAnsi="Times New Roman" w:cs="Times New Roman"/>
          <w:sz w:val="28"/>
          <w:szCs w:val="28"/>
          <w:highlight w:val="yellow"/>
        </w:rPr>
      </w:pPr>
      <w:r>
        <w:rPr>
          <w:rFonts w:ascii="Times New Roman" w:hAnsi="Times New Roman" w:cs="Times New Roman"/>
          <w:sz w:val="28"/>
          <w:szCs w:val="28"/>
          <w:highlight w:val="yellow"/>
        </w:rPr>
        <w:t>包括函审材料、</w:t>
      </w:r>
      <w:r>
        <w:rPr>
          <w:rFonts w:hint="eastAsia" w:ascii="Times New Roman" w:hAnsi="Times New Roman" w:cs="Times New Roman"/>
          <w:sz w:val="28"/>
          <w:szCs w:val="28"/>
          <w:highlight w:val="yellow"/>
        </w:rPr>
        <w:t>函审</w:t>
      </w:r>
      <w:r>
        <w:rPr>
          <w:rFonts w:ascii="Times New Roman" w:hAnsi="Times New Roman" w:cs="Times New Roman"/>
          <w:sz w:val="28"/>
          <w:szCs w:val="28"/>
          <w:highlight w:val="yellow"/>
        </w:rPr>
        <w:t>时间</w:t>
      </w:r>
      <w:r>
        <w:rPr>
          <w:rFonts w:hint="eastAsia" w:ascii="Times New Roman" w:hAnsi="Times New Roman" w:cs="Times New Roman"/>
          <w:sz w:val="28"/>
          <w:szCs w:val="28"/>
          <w:highlight w:val="yellow"/>
        </w:rPr>
        <w:t>、函审组织方、发函单位</w:t>
      </w:r>
      <w:r>
        <w:rPr>
          <w:rFonts w:ascii="Times New Roman" w:hAnsi="Times New Roman" w:cs="Times New Roman"/>
          <w:sz w:val="28"/>
          <w:szCs w:val="28"/>
          <w:highlight w:val="yellow"/>
        </w:rPr>
        <w:t>、回函情况、回函率、函审意见处理</w:t>
      </w:r>
      <w:r>
        <w:rPr>
          <w:rFonts w:hint="eastAsia" w:ascii="Times New Roman" w:hAnsi="Times New Roman" w:cs="Times New Roman"/>
          <w:sz w:val="28"/>
          <w:szCs w:val="28"/>
          <w:highlight w:val="yellow"/>
        </w:rPr>
        <w:t>情况</w:t>
      </w:r>
      <w:r>
        <w:rPr>
          <w:rFonts w:ascii="Times New Roman" w:hAnsi="Times New Roman" w:cs="Times New Roman"/>
          <w:sz w:val="28"/>
          <w:szCs w:val="28"/>
          <w:highlight w:val="yellow"/>
        </w:rPr>
        <w:t>和函审结论</w:t>
      </w:r>
      <w:r>
        <w:rPr>
          <w:rFonts w:hint="eastAsia" w:ascii="Times New Roman" w:hAnsi="Times New Roman" w:cs="Times New Roman"/>
          <w:sz w:val="28"/>
          <w:szCs w:val="28"/>
          <w:highlight w:val="yellow"/>
        </w:rPr>
        <w:t>（如：投票情况说明、审查通过结论或不通过原因）</w:t>
      </w:r>
      <w:r>
        <w:rPr>
          <w:rFonts w:ascii="Times New Roman" w:hAnsi="Times New Roman" w:cs="Times New Roman"/>
          <w:sz w:val="28"/>
          <w:szCs w:val="28"/>
          <w:highlight w:val="yellow"/>
        </w:rPr>
        <w:t>等。</w:t>
      </w:r>
    </w:p>
    <w:p>
      <w:pPr>
        <w:snapToGrid w:val="0"/>
        <w:spacing w:line="360" w:lineRule="auto"/>
        <w:ind w:firstLine="560" w:firstLineChars="200"/>
        <w:rPr>
          <w:rFonts w:ascii="Times New Roman" w:hAnsi="Times New Roman" w:cs="Times New Roman"/>
          <w:sz w:val="28"/>
          <w:szCs w:val="28"/>
          <w:highlight w:val="yellow"/>
        </w:rPr>
      </w:pPr>
      <w:r>
        <w:rPr>
          <w:rFonts w:hint="eastAsia" w:ascii="Times New Roman" w:hAnsi="Times New Roman" w:cs="Times New Roman"/>
          <w:sz w:val="28"/>
          <w:szCs w:val="28"/>
          <w:highlight w:val="yellow"/>
        </w:rPr>
        <w:t>（2）</w:t>
      </w:r>
      <w:r>
        <w:rPr>
          <w:rFonts w:ascii="Times New Roman" w:hAnsi="Times New Roman" w:cs="Times New Roman"/>
          <w:sz w:val="28"/>
          <w:szCs w:val="28"/>
          <w:highlight w:val="yellow"/>
        </w:rPr>
        <w:t>分歧意见说明</w:t>
      </w:r>
    </w:p>
    <w:p>
      <w:pPr>
        <w:snapToGrid w:val="0"/>
        <w:spacing w:line="360" w:lineRule="auto"/>
        <w:ind w:firstLine="560" w:firstLineChars="200"/>
        <w:rPr>
          <w:rFonts w:ascii="Times New Roman" w:hAnsi="Times New Roman" w:cs="Times New Roman"/>
          <w:sz w:val="28"/>
          <w:szCs w:val="28"/>
          <w:highlight w:val="yellow"/>
        </w:rPr>
      </w:pPr>
      <w:r>
        <w:rPr>
          <w:rFonts w:hint="eastAsia" w:ascii="Times New Roman" w:hAnsi="Times New Roman" w:cs="Times New Roman"/>
          <w:sz w:val="28"/>
          <w:szCs w:val="28"/>
          <w:highlight w:val="yellow"/>
        </w:rPr>
        <w:t>如果有分歧意见，</w:t>
      </w:r>
      <w:r>
        <w:rPr>
          <w:rFonts w:ascii="Times New Roman" w:hAnsi="Times New Roman" w:cs="Times New Roman"/>
          <w:sz w:val="28"/>
          <w:szCs w:val="28"/>
          <w:highlight w:val="yellow"/>
        </w:rPr>
        <w:t>应说明分歧意见处理</w:t>
      </w:r>
      <w:r>
        <w:rPr>
          <w:rFonts w:hint="eastAsia" w:ascii="Times New Roman" w:hAnsi="Times New Roman" w:cs="Times New Roman"/>
          <w:sz w:val="28"/>
          <w:szCs w:val="28"/>
          <w:highlight w:val="yellow"/>
        </w:rPr>
        <w:t>情况，提供</w:t>
      </w:r>
      <w:r>
        <w:rPr>
          <w:rFonts w:ascii="Times New Roman" w:hAnsi="Times New Roman" w:cs="Times New Roman"/>
          <w:sz w:val="28"/>
          <w:szCs w:val="28"/>
          <w:highlight w:val="yellow"/>
        </w:rPr>
        <w:t>达成协商一致的</w:t>
      </w:r>
      <w:r>
        <w:rPr>
          <w:rFonts w:hint="eastAsia" w:ascii="Times New Roman" w:hAnsi="Times New Roman" w:cs="Times New Roman"/>
          <w:sz w:val="28"/>
          <w:szCs w:val="28"/>
          <w:highlight w:val="yellow"/>
        </w:rPr>
        <w:t>情况说明</w:t>
      </w:r>
      <w:r>
        <w:rPr>
          <w:rFonts w:ascii="Times New Roman" w:hAnsi="Times New Roman" w:cs="Times New Roman"/>
          <w:sz w:val="28"/>
          <w:szCs w:val="28"/>
          <w:highlight w:val="yellow"/>
        </w:rPr>
        <w:t>。</w:t>
      </w:r>
    </w:p>
    <w:p>
      <w:pPr>
        <w:snapToGrid w:val="0"/>
        <w:spacing w:line="360" w:lineRule="auto"/>
        <w:ind w:firstLine="560" w:firstLineChars="200"/>
        <w:rPr>
          <w:rFonts w:ascii="Times New Roman" w:hAnsi="Times New Roman" w:cs="Times New Roman"/>
          <w:sz w:val="28"/>
          <w:szCs w:val="28"/>
          <w:highlight w:val="yellow"/>
        </w:rPr>
      </w:pPr>
      <w:r>
        <w:rPr>
          <w:rFonts w:hint="eastAsia" w:ascii="Times New Roman" w:hAnsi="Times New Roman" w:cs="Times New Roman"/>
          <w:sz w:val="28"/>
          <w:szCs w:val="28"/>
          <w:highlight w:val="yellow"/>
        </w:rPr>
        <w:t>（3）</w:t>
      </w:r>
      <w:r>
        <w:rPr>
          <w:rFonts w:ascii="Times New Roman" w:hAnsi="Times New Roman" w:cs="Times New Roman"/>
          <w:sz w:val="28"/>
          <w:szCs w:val="28"/>
          <w:highlight w:val="yellow"/>
        </w:rPr>
        <w:t>送审二稿说明</w:t>
      </w:r>
    </w:p>
    <w:p>
      <w:pPr>
        <w:snapToGrid w:val="0"/>
        <w:spacing w:line="360" w:lineRule="auto"/>
        <w:ind w:firstLine="560" w:firstLineChars="200"/>
        <w:rPr>
          <w:rFonts w:ascii="Times New Roman" w:hAnsi="Times New Roman" w:cs="Times New Roman"/>
          <w:sz w:val="28"/>
          <w:szCs w:val="28"/>
          <w:highlight w:val="yellow"/>
        </w:rPr>
      </w:pPr>
      <w:r>
        <w:rPr>
          <w:rFonts w:ascii="Times New Roman" w:hAnsi="Times New Roman" w:cs="Times New Roman"/>
          <w:sz w:val="28"/>
          <w:szCs w:val="28"/>
          <w:highlight w:val="yellow"/>
        </w:rPr>
        <w:t>若送审稿未通过审查，应根据实际情况增加送审二稿</w:t>
      </w:r>
      <w:r>
        <w:rPr>
          <w:rFonts w:hint="eastAsia" w:ascii="Times New Roman" w:hAnsi="Times New Roman" w:cs="Times New Roman"/>
          <w:sz w:val="28"/>
          <w:szCs w:val="28"/>
          <w:highlight w:val="yellow"/>
        </w:rPr>
        <w:t>修改</w:t>
      </w:r>
      <w:r>
        <w:rPr>
          <w:rFonts w:ascii="Times New Roman" w:hAnsi="Times New Roman" w:cs="Times New Roman"/>
          <w:sz w:val="28"/>
          <w:szCs w:val="28"/>
          <w:highlight w:val="yellow"/>
        </w:rPr>
        <w:t>和审查</w:t>
      </w:r>
      <w:r>
        <w:rPr>
          <w:rFonts w:hint="eastAsia" w:ascii="Times New Roman" w:hAnsi="Times New Roman" w:cs="Times New Roman"/>
          <w:sz w:val="28"/>
          <w:szCs w:val="28"/>
          <w:highlight w:val="yellow"/>
        </w:rPr>
        <w:t>的</w:t>
      </w:r>
      <w:r>
        <w:rPr>
          <w:rFonts w:ascii="Times New Roman" w:hAnsi="Times New Roman" w:cs="Times New Roman"/>
          <w:sz w:val="28"/>
          <w:szCs w:val="28"/>
          <w:highlight w:val="yellow"/>
        </w:rPr>
        <w:t>相关内容说明。</w:t>
      </w:r>
    </w:p>
    <w:p>
      <w:pPr>
        <w:snapToGrid w:val="0"/>
        <w:spacing w:line="360" w:lineRule="auto"/>
        <w:ind w:firstLine="562" w:firstLineChars="200"/>
        <w:rPr>
          <w:rFonts w:ascii="宋体" w:hAnsi="宋体" w:eastAsia="宋体" w:cs="Times New Roman"/>
          <w:b/>
          <w:sz w:val="28"/>
          <w:szCs w:val="28"/>
          <w:highlight w:val="yellow"/>
        </w:rPr>
      </w:pPr>
      <w:r>
        <w:rPr>
          <w:rFonts w:hint="eastAsia" w:ascii="宋体" w:hAnsi="宋体" w:eastAsia="宋体" w:cs="Times New Roman"/>
          <w:b/>
          <w:sz w:val="28"/>
          <w:szCs w:val="28"/>
          <w:highlight w:val="yellow"/>
        </w:rPr>
        <w:t>5.提交</w:t>
      </w:r>
      <w:r>
        <w:rPr>
          <w:rFonts w:ascii="宋体" w:hAnsi="宋体" w:eastAsia="宋体" w:cs="Times New Roman"/>
          <w:b/>
          <w:sz w:val="28"/>
          <w:szCs w:val="28"/>
          <w:highlight w:val="yellow"/>
        </w:rPr>
        <w:t>报</w:t>
      </w:r>
      <w:r>
        <w:rPr>
          <w:rFonts w:hint="eastAsia" w:ascii="宋体" w:hAnsi="宋体" w:eastAsia="宋体" w:cs="Times New Roman"/>
          <w:b/>
          <w:sz w:val="28"/>
          <w:szCs w:val="28"/>
          <w:highlight w:val="yellow"/>
        </w:rPr>
        <w:t>送</w:t>
      </w:r>
      <w:r>
        <w:rPr>
          <w:rFonts w:ascii="宋体" w:hAnsi="宋体" w:eastAsia="宋体" w:cs="Times New Roman"/>
          <w:b/>
          <w:sz w:val="28"/>
          <w:szCs w:val="28"/>
          <w:highlight w:val="yellow"/>
        </w:rPr>
        <w:t>阶段</w:t>
      </w:r>
      <w:r>
        <w:rPr>
          <w:rFonts w:hint="eastAsia" w:ascii="宋体" w:hAnsi="宋体" w:eastAsia="宋体" w:cs="Times New Roman"/>
          <w:b/>
          <w:sz w:val="28"/>
          <w:szCs w:val="28"/>
          <w:highlight w:val="yellow"/>
        </w:rPr>
        <w:t>（须落实送审会审查意见后补充）</w:t>
      </w:r>
    </w:p>
    <w:p>
      <w:pPr>
        <w:snapToGrid w:val="0"/>
        <w:spacing w:line="360" w:lineRule="auto"/>
        <w:ind w:firstLine="560" w:firstLineChars="200"/>
        <w:rPr>
          <w:rFonts w:ascii="Times New Roman" w:hAnsi="Times New Roman" w:cs="Times New Roman"/>
          <w:sz w:val="28"/>
          <w:szCs w:val="28"/>
          <w:highlight w:val="yellow"/>
        </w:rPr>
      </w:pPr>
      <w:r>
        <w:rPr>
          <w:rFonts w:hint="eastAsia" w:ascii="Times New Roman" w:hAnsi="Times New Roman" w:cs="Times New Roman"/>
          <w:sz w:val="28"/>
          <w:szCs w:val="28"/>
          <w:highlight w:val="yellow"/>
        </w:rPr>
        <w:t>（1）</w:t>
      </w:r>
      <w:r>
        <w:rPr>
          <w:rFonts w:ascii="Times New Roman" w:hAnsi="Times New Roman" w:cs="Times New Roman"/>
          <w:sz w:val="28"/>
          <w:szCs w:val="28"/>
          <w:highlight w:val="yellow"/>
        </w:rPr>
        <w:t>说明时间节点</w:t>
      </w:r>
      <w:r>
        <w:rPr>
          <w:rFonts w:hint="eastAsia" w:ascii="Times New Roman" w:hAnsi="Times New Roman" w:cs="Times New Roman"/>
          <w:sz w:val="28"/>
          <w:szCs w:val="28"/>
          <w:highlight w:val="yellow"/>
        </w:rPr>
        <w:t>及制标团队在提交报送阶段开展的有关工作</w:t>
      </w:r>
    </w:p>
    <w:p>
      <w:pPr>
        <w:snapToGrid w:val="0"/>
        <w:spacing w:line="360" w:lineRule="auto"/>
        <w:ind w:firstLine="560" w:firstLineChars="200"/>
        <w:rPr>
          <w:rFonts w:ascii="Times New Roman" w:hAnsi="Times New Roman" w:cs="Times New Roman"/>
          <w:sz w:val="28"/>
          <w:szCs w:val="28"/>
          <w:highlight w:val="yellow"/>
        </w:rPr>
      </w:pPr>
      <w:r>
        <w:rPr>
          <w:rFonts w:hint="eastAsia" w:ascii="Times New Roman" w:hAnsi="Times New Roman" w:cs="Times New Roman"/>
          <w:sz w:val="28"/>
          <w:szCs w:val="28"/>
          <w:highlight w:val="yellow"/>
        </w:rPr>
        <w:t>主要包括制标团队</w:t>
      </w:r>
      <w:r>
        <w:rPr>
          <w:rFonts w:ascii="Times New Roman" w:hAnsi="Times New Roman" w:cs="Times New Roman"/>
          <w:sz w:val="28"/>
          <w:szCs w:val="28"/>
          <w:highlight w:val="yellow"/>
        </w:rPr>
        <w:t>按审查会提出的修改意见进行修改</w:t>
      </w:r>
      <w:r>
        <w:rPr>
          <w:rFonts w:hint="eastAsia" w:ascii="Times New Roman" w:hAnsi="Times New Roman" w:cs="Times New Roman"/>
          <w:sz w:val="28"/>
          <w:szCs w:val="28"/>
          <w:highlight w:val="yellow"/>
        </w:rPr>
        <w:t>完善的情况，将报批稿报送归口单位的时间及有关情况。</w:t>
      </w:r>
    </w:p>
    <w:p>
      <w:pPr>
        <w:snapToGrid w:val="0"/>
        <w:spacing w:line="360" w:lineRule="auto"/>
        <w:ind w:firstLine="560" w:firstLineChars="200"/>
        <w:rPr>
          <w:rFonts w:ascii="Times New Roman" w:hAnsi="Times New Roman" w:cs="Times New Roman"/>
          <w:sz w:val="28"/>
          <w:szCs w:val="28"/>
          <w:highlight w:val="yellow"/>
        </w:rPr>
      </w:pPr>
      <w:r>
        <w:rPr>
          <w:rFonts w:hint="eastAsia" w:ascii="Times New Roman" w:hAnsi="Times New Roman" w:cs="Times New Roman"/>
          <w:sz w:val="28"/>
          <w:szCs w:val="28"/>
          <w:highlight w:val="yellow"/>
        </w:rPr>
        <w:t>（2）报送工作中需要专门说明的其他情况。如</w:t>
      </w:r>
      <w:r>
        <w:rPr>
          <w:rFonts w:ascii="Times New Roman" w:hAnsi="Times New Roman" w:cs="Times New Roman"/>
          <w:sz w:val="28"/>
          <w:szCs w:val="28"/>
          <w:highlight w:val="yellow"/>
        </w:rPr>
        <w:t>报批稿</w:t>
      </w:r>
      <w:r>
        <w:rPr>
          <w:rFonts w:hint="eastAsia" w:ascii="Times New Roman" w:hAnsi="Times New Roman" w:cs="Times New Roman"/>
          <w:sz w:val="28"/>
          <w:szCs w:val="28"/>
          <w:highlight w:val="yellow"/>
        </w:rPr>
        <w:t>涉及</w:t>
      </w:r>
      <w:r>
        <w:rPr>
          <w:rFonts w:ascii="Times New Roman" w:hAnsi="Times New Roman" w:cs="Times New Roman"/>
          <w:sz w:val="28"/>
          <w:szCs w:val="28"/>
          <w:highlight w:val="yellow"/>
        </w:rPr>
        <w:t>修改</w:t>
      </w:r>
      <w:r>
        <w:rPr>
          <w:rFonts w:hint="eastAsia" w:ascii="Times New Roman" w:hAnsi="Times New Roman" w:cs="Times New Roman"/>
          <w:sz w:val="28"/>
          <w:szCs w:val="28"/>
          <w:highlight w:val="yellow"/>
        </w:rPr>
        <w:t>标准</w:t>
      </w:r>
      <w:r>
        <w:rPr>
          <w:rFonts w:ascii="Times New Roman" w:hAnsi="Times New Roman" w:cs="Times New Roman"/>
          <w:sz w:val="28"/>
          <w:szCs w:val="28"/>
          <w:highlight w:val="yellow"/>
        </w:rPr>
        <w:t>技术内容，需说明原因。如多次</w:t>
      </w:r>
      <w:r>
        <w:rPr>
          <w:rFonts w:hint="eastAsia" w:ascii="Times New Roman" w:hAnsi="Times New Roman" w:cs="Times New Roman"/>
          <w:sz w:val="28"/>
          <w:szCs w:val="28"/>
          <w:highlight w:val="yellow"/>
        </w:rPr>
        <w:t>修改</w:t>
      </w:r>
      <w:r>
        <w:rPr>
          <w:rFonts w:ascii="Times New Roman" w:hAnsi="Times New Roman" w:cs="Times New Roman"/>
          <w:sz w:val="28"/>
          <w:szCs w:val="28"/>
          <w:highlight w:val="yellow"/>
        </w:rPr>
        <w:t>形成报批稿，可根据实际情况增加每个版本报批稿的内容说明。</w:t>
      </w:r>
    </w:p>
    <w:p>
      <w:pPr>
        <w:pStyle w:val="2"/>
        <w:snapToGrid w:val="0"/>
        <w:spacing w:before="0" w:after="0" w:line="360" w:lineRule="auto"/>
        <w:ind w:firstLine="562" w:firstLineChars="200"/>
        <w:rPr>
          <w:rFonts w:ascii="黑体" w:hAnsi="黑体" w:eastAsia="黑体" w:cs="Times New Roman"/>
          <w:sz w:val="28"/>
          <w:szCs w:val="28"/>
        </w:rPr>
      </w:pPr>
      <w:bookmarkStart w:id="2" w:name="_Toc85035212"/>
      <w:bookmarkStart w:id="3" w:name="_Toc26995"/>
      <w:r>
        <w:rPr>
          <w:rFonts w:ascii="黑体" w:hAnsi="黑体" w:eastAsia="黑体" w:cs="Times New Roman"/>
          <w:sz w:val="28"/>
          <w:szCs w:val="28"/>
        </w:rPr>
        <w:t>二、标准</w:t>
      </w:r>
      <w:r>
        <w:rPr>
          <w:rFonts w:hint="eastAsia" w:ascii="黑体" w:hAnsi="黑体" w:eastAsia="黑体" w:cs="Times New Roman"/>
          <w:sz w:val="28"/>
          <w:szCs w:val="28"/>
        </w:rPr>
        <w:t>编制</w:t>
      </w:r>
      <w:r>
        <w:rPr>
          <w:rFonts w:ascii="黑体" w:hAnsi="黑体" w:eastAsia="黑体" w:cs="Times New Roman"/>
          <w:sz w:val="28"/>
          <w:szCs w:val="28"/>
        </w:rPr>
        <w:t>原则</w:t>
      </w:r>
      <w:r>
        <w:rPr>
          <w:rFonts w:hint="eastAsia" w:ascii="黑体" w:hAnsi="黑体" w:eastAsia="黑体" w:cs="Times New Roman"/>
          <w:sz w:val="28"/>
          <w:szCs w:val="28"/>
        </w:rPr>
        <w:t>、主要内容及其确定依据</w:t>
      </w:r>
      <w:bookmarkEnd w:id="2"/>
      <w:bookmarkEnd w:id="3"/>
    </w:p>
    <w:p>
      <w:pPr>
        <w:snapToGrid w:val="0"/>
        <w:spacing w:line="360" w:lineRule="auto"/>
        <w:ind w:firstLine="562" w:firstLineChars="200"/>
        <w:rPr>
          <w:rFonts w:ascii="楷体" w:hAnsi="楷体" w:eastAsia="楷体" w:cs="黑体"/>
          <w:b/>
          <w:sz w:val="28"/>
          <w:szCs w:val="28"/>
        </w:rPr>
      </w:pPr>
      <w:r>
        <w:rPr>
          <w:rFonts w:ascii="楷体" w:hAnsi="楷体" w:eastAsia="楷体" w:cs="黑体"/>
          <w:b/>
          <w:sz w:val="28"/>
          <w:szCs w:val="28"/>
        </w:rPr>
        <w:t>（一）编制原则</w:t>
      </w:r>
    </w:p>
    <w:p>
      <w:pPr>
        <w:snapToGrid w:val="0"/>
        <w:spacing w:line="360" w:lineRule="auto"/>
        <w:ind w:firstLine="562" w:firstLineChars="200"/>
        <w:rPr>
          <w:rFonts w:cs="Times New Roman" w:asciiTheme="minorEastAsia" w:hAnsiTheme="minorEastAsia"/>
          <w:b/>
          <w:sz w:val="28"/>
          <w:szCs w:val="28"/>
        </w:rPr>
      </w:pPr>
      <w:r>
        <w:rPr>
          <w:rFonts w:hint="eastAsia" w:cs="Times New Roman" w:asciiTheme="minorEastAsia" w:hAnsiTheme="minorEastAsia"/>
          <w:b/>
          <w:sz w:val="28"/>
          <w:szCs w:val="28"/>
        </w:rPr>
        <w:t>1.</w:t>
      </w:r>
      <w:r>
        <w:rPr>
          <w:rFonts w:cs="Times New Roman" w:asciiTheme="minorEastAsia" w:hAnsiTheme="minorEastAsia"/>
          <w:b/>
          <w:sz w:val="28"/>
          <w:szCs w:val="28"/>
        </w:rPr>
        <w:t>科学性</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经过团队多次研究讨论，明确标准致力于围绕蔬菜产业的全周期各环节，建立符合蔬菜生产规范的信息编码、对象标识、数据安全、信息公示等类型的标准，明确溯源主体、溯源信息、溯源环节、溯源管理等内容。</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充分研究区块链技术特点，围绕蔬菜行业溯源数据信息管理、评估评价、溯源关键环节等方面，研制出适用性强，符合蔬菜质量安全追溯的区块链溯源信息采集技术标准，对标识规则、数据采集、数据格式、信息编码及检查方法等方面进行规范。</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通过标准规范体系的建设，实现对蔬菜质量安全溯源在技术流程上的统一，为后续市场监管、企业生产标准提供决策依据。</w:t>
      </w:r>
    </w:p>
    <w:p>
      <w:pPr>
        <w:snapToGrid w:val="0"/>
        <w:spacing w:line="360" w:lineRule="auto"/>
        <w:ind w:firstLine="562" w:firstLineChars="200"/>
        <w:rPr>
          <w:rFonts w:cs="Times New Roman" w:asciiTheme="minorEastAsia" w:hAnsiTheme="minorEastAsia"/>
          <w:b/>
          <w:sz w:val="28"/>
          <w:szCs w:val="28"/>
        </w:rPr>
      </w:pPr>
      <w:r>
        <w:rPr>
          <w:rFonts w:hint="eastAsia" w:cs="Times New Roman" w:asciiTheme="minorEastAsia" w:hAnsiTheme="minorEastAsia"/>
          <w:b/>
          <w:sz w:val="28"/>
          <w:szCs w:val="28"/>
        </w:rPr>
        <w:t>2.</w:t>
      </w:r>
      <w:r>
        <w:rPr>
          <w:rFonts w:cs="Times New Roman" w:asciiTheme="minorEastAsia" w:hAnsiTheme="minorEastAsia"/>
          <w:b/>
          <w:sz w:val="28"/>
          <w:szCs w:val="28"/>
        </w:rPr>
        <w:t>适用性</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区块链技术具备数据可信、不可篡改、实时性、隐私保护和系统稳定等特点，在蔬菜溯源领域中这类特征成为理想的解决方案。</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随着近些年溯源的推广和普遍，结合区块链建设溯源体系更符合当前的应用方向，为蔬菜种植企业提供更具公信力的溯源认证。</w:t>
      </w:r>
    </w:p>
    <w:p>
      <w:pPr>
        <w:snapToGrid w:val="0"/>
        <w:spacing w:line="360" w:lineRule="auto"/>
        <w:ind w:firstLine="562" w:firstLineChars="200"/>
        <w:rPr>
          <w:rFonts w:cs="Times New Roman" w:asciiTheme="minorEastAsia" w:hAnsiTheme="minorEastAsia"/>
          <w:b/>
          <w:sz w:val="28"/>
          <w:szCs w:val="28"/>
        </w:rPr>
      </w:pPr>
      <w:r>
        <w:rPr>
          <w:rFonts w:hint="eastAsia" w:cs="Times New Roman" w:asciiTheme="minorEastAsia" w:hAnsiTheme="minorEastAsia"/>
          <w:b/>
          <w:sz w:val="28"/>
          <w:szCs w:val="28"/>
        </w:rPr>
        <w:t>3.</w:t>
      </w:r>
      <w:r>
        <w:rPr>
          <w:rFonts w:cs="Times New Roman" w:asciiTheme="minorEastAsia" w:hAnsiTheme="minorEastAsia"/>
          <w:b/>
          <w:sz w:val="28"/>
          <w:szCs w:val="28"/>
        </w:rPr>
        <w:t>实用性</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传统溯源在数据采集、数据记录、数据共享、数据追溯等环节存在信息不对称的痛点，通过区块链技术的应用，在提高蔬菜生产和流通环节的透明度和可信度的同时，还可以帮助企业优化生产流通过程，保障消费者的食品安全和权益。</w:t>
      </w:r>
    </w:p>
    <w:p>
      <w:pPr>
        <w:snapToGrid w:val="0"/>
        <w:spacing w:line="360" w:lineRule="auto"/>
        <w:ind w:firstLine="562" w:firstLineChars="200"/>
        <w:rPr>
          <w:rFonts w:cs="Times New Roman" w:asciiTheme="minorEastAsia" w:hAnsiTheme="minorEastAsia"/>
          <w:b/>
          <w:sz w:val="28"/>
          <w:szCs w:val="28"/>
        </w:rPr>
      </w:pPr>
      <w:r>
        <w:rPr>
          <w:rFonts w:hint="eastAsia" w:cs="Times New Roman" w:asciiTheme="minorEastAsia" w:hAnsiTheme="minorEastAsia"/>
          <w:b/>
          <w:sz w:val="28"/>
          <w:szCs w:val="28"/>
        </w:rPr>
        <w:t>4.</w:t>
      </w:r>
      <w:r>
        <w:rPr>
          <w:rFonts w:cs="Times New Roman" w:asciiTheme="minorEastAsia" w:hAnsiTheme="minorEastAsia"/>
          <w:b/>
          <w:sz w:val="28"/>
          <w:szCs w:val="28"/>
        </w:rPr>
        <w:t>可操作性</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考虑区块链在数据采集和记录、数据共享和验证、技术支持和培训、法律和政策支持以及成本效益等方面，结合当前各企业种植体系及应用现状，对于现有溯源体系的改造升级均具备高度可操作性。</w:t>
      </w:r>
    </w:p>
    <w:p>
      <w:pPr>
        <w:snapToGrid w:val="0"/>
        <w:spacing w:line="360" w:lineRule="auto"/>
        <w:ind w:firstLine="562" w:firstLineChars="200"/>
        <w:rPr>
          <w:rFonts w:cs="Times New Roman" w:asciiTheme="minorEastAsia" w:hAnsiTheme="minorEastAsia"/>
          <w:b/>
          <w:sz w:val="28"/>
          <w:szCs w:val="28"/>
        </w:rPr>
      </w:pPr>
      <w:r>
        <w:rPr>
          <w:rFonts w:hint="eastAsia" w:cs="Times New Roman" w:asciiTheme="minorEastAsia" w:hAnsiTheme="minorEastAsia"/>
          <w:b/>
          <w:sz w:val="28"/>
          <w:szCs w:val="28"/>
        </w:rPr>
        <w:t>5.</w:t>
      </w:r>
      <w:r>
        <w:rPr>
          <w:rFonts w:cs="Times New Roman" w:asciiTheme="minorEastAsia" w:hAnsiTheme="minorEastAsia"/>
          <w:b/>
          <w:sz w:val="28"/>
          <w:szCs w:val="28"/>
        </w:rPr>
        <w:t>可扩充性</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区块链在蔬菜溯源领域的应用目前正处于起步阶段，区块链的应用可拓展空间巨大，随着行业人才的增加、技术应用的深度融合、系统的逐渐成熟，后续在技术领域、技术融合、同现行“农业信息资源”融合不断进行完善修订。</w:t>
      </w:r>
    </w:p>
    <w:p>
      <w:pPr>
        <w:snapToGrid w:val="0"/>
        <w:spacing w:line="360" w:lineRule="auto"/>
        <w:ind w:firstLine="562" w:firstLineChars="200"/>
        <w:rPr>
          <w:rFonts w:cs="Times New Roman" w:asciiTheme="minorEastAsia" w:hAnsiTheme="minorEastAsia"/>
          <w:b/>
          <w:sz w:val="28"/>
          <w:szCs w:val="28"/>
        </w:rPr>
      </w:pPr>
      <w:r>
        <w:rPr>
          <w:rFonts w:hint="eastAsia" w:cs="Times New Roman" w:asciiTheme="minorEastAsia" w:hAnsiTheme="minorEastAsia"/>
          <w:b/>
          <w:sz w:val="28"/>
          <w:szCs w:val="28"/>
        </w:rPr>
        <w:t>6.先进性</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（1）高实用性：区块链溯源可以通过智能合约等技术实现自动化的数据采集、记录和验证，提高数据处理的效率和准确性。同时，区块链溯源还可以结合物联网、人工智能等，实现更智能化的溯源管理和监控。</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2）提高溯源效率：区块链溯源可实现参与方之间的数据共享和协作，参与方可共同维护和验证数据，实现更高效的数据管理和溯源过程。这种数据共享和协作可促进供应链的透明化和合作，提高整个供应链的效率和可持续发展。</w:t>
      </w:r>
    </w:p>
    <w:p>
      <w:pPr>
        <w:numPr>
          <w:ilvl w:val="255"/>
          <w:numId w:val="0"/>
        </w:num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3）经济效益：区块链溯源可存录蔬菜全生命周期数据信息，也可以追踪和验证产品的品牌价值和溯源标识，确保产品的真实性和品质，提高品牌的信誉和竞争力。通过记录和验证产品的来源和真实性，减少市场上的假冒和劣质产品，保护消费者的权益和利益。</w:t>
      </w:r>
    </w:p>
    <w:p>
      <w:pPr>
        <w:numPr>
          <w:ilvl w:val="255"/>
          <w:numId w:val="0"/>
        </w:num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4）社会效益：区块链溯源可追踪和记录产品的种植、加工、贮藏、运输及销售环节数据信息，消费者可通过区块链溯源系统扫码查看产品的原产地、生产过程和质量检测结果，增加对产品的信任和选择，促进市场的健康发展。</w:t>
      </w:r>
    </w:p>
    <w:p>
      <w:pPr>
        <w:snapToGrid w:val="0"/>
        <w:spacing w:line="360" w:lineRule="auto"/>
        <w:ind w:firstLine="562" w:firstLineChars="200"/>
        <w:rPr>
          <w:rFonts w:cs="Times New Roman" w:asciiTheme="minorEastAsia" w:hAnsiTheme="minorEastAsia"/>
          <w:b/>
          <w:sz w:val="28"/>
          <w:szCs w:val="28"/>
        </w:rPr>
      </w:pPr>
      <w:r>
        <w:rPr>
          <w:rFonts w:hint="eastAsia" w:cs="Times New Roman" w:asciiTheme="minorEastAsia" w:hAnsiTheme="minorEastAsia"/>
          <w:b/>
          <w:sz w:val="28"/>
          <w:szCs w:val="28"/>
        </w:rPr>
        <w:t>7.</w:t>
      </w:r>
      <w:r>
        <w:rPr>
          <w:rFonts w:cs="Times New Roman" w:asciiTheme="minorEastAsia" w:hAnsiTheme="minorEastAsia"/>
          <w:b/>
          <w:sz w:val="28"/>
          <w:szCs w:val="28"/>
        </w:rPr>
        <w:t>风险性</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区块链在蔬菜质量追溯中有诸多优势，但依然有一定的风险存在，主要体现在：</w:t>
      </w:r>
    </w:p>
    <w:p>
      <w:pPr>
        <w:numPr>
          <w:ilvl w:val="0"/>
          <w:numId w:val="3"/>
        </w:num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法律和合规风险：区块链溯源需要遵守相关的法律和合规要求，包括数据隐私保护、数据安全管理、数据共享规则等方面。如果没有合理的法律和政策支持，会面临法律风险和合规问题。</w:t>
      </w:r>
    </w:p>
    <w:p>
      <w:pPr>
        <w:numPr>
          <w:ilvl w:val="0"/>
          <w:numId w:val="3"/>
        </w:numPr>
        <w:snapToGrid w:val="0"/>
        <w:spacing w:line="360" w:lineRule="auto"/>
        <w:ind w:firstLine="560" w:firstLineChars="200"/>
        <w:rPr>
          <w:rFonts w:cs="Times New Roman" w:asciiTheme="minorEastAsia" w:hAnsiTheme="minorEastAsia"/>
          <w:sz w:val="28"/>
          <w:szCs w:val="28"/>
        </w:rPr>
      </w:pPr>
      <w:r>
        <w:rPr>
          <w:rFonts w:cs="Times New Roman" w:asciiTheme="minorEastAsia" w:hAnsiTheme="minorEastAsia"/>
          <w:sz w:val="28"/>
          <w:szCs w:val="28"/>
        </w:rPr>
        <w:t>采集和记录成本风险：区块链溯源需要采集和记录大量的数据，需要相应的设备、系统和人力资源投入。如果成本过高或无法承担，可能会影响区块链溯源的可行性和可持续性。</w:t>
      </w:r>
    </w:p>
    <w:p>
      <w:pPr>
        <w:numPr>
          <w:ilvl w:val="0"/>
          <w:numId w:val="3"/>
        </w:numPr>
        <w:snapToGrid w:val="0"/>
        <w:spacing w:line="360" w:lineRule="auto"/>
        <w:ind w:firstLine="560" w:firstLineChars="200"/>
        <w:rPr>
          <w:rFonts w:cs="Times New Roman" w:asciiTheme="minorEastAsia" w:hAnsiTheme="minorEastAsia"/>
          <w:sz w:val="28"/>
          <w:szCs w:val="28"/>
        </w:rPr>
      </w:pPr>
      <w:r>
        <w:rPr>
          <w:rFonts w:cs="Times New Roman" w:asciiTheme="minorEastAsia" w:hAnsiTheme="minorEastAsia"/>
          <w:sz w:val="28"/>
          <w:szCs w:val="28"/>
        </w:rPr>
        <w:t>技术应用和操作风险：区块链溯源需要相应的技术支持和操作，包括区块链技术的应用和操作、数据采集和记录的方法、数据共享和验证的流程等。如果参与方缺乏相应的技术能力和知识，可能会影响区块链溯源的实施和效果。</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上述风险在标准制定与执行中会通过一系列技术规范进行完善，同时在实际标准执行过程也依赖监管部门完善对应规则政策，进一步控制风险。</w:t>
      </w:r>
    </w:p>
    <w:p>
      <w:pPr>
        <w:snapToGrid w:val="0"/>
        <w:spacing w:line="360" w:lineRule="auto"/>
        <w:ind w:firstLine="562" w:firstLineChars="200"/>
        <w:rPr>
          <w:rFonts w:cs="Times New Roman" w:asciiTheme="minorEastAsia" w:hAnsiTheme="minorEastAsia"/>
          <w:b/>
          <w:sz w:val="28"/>
          <w:szCs w:val="28"/>
        </w:rPr>
      </w:pPr>
      <w:r>
        <w:rPr>
          <w:rFonts w:hint="eastAsia" w:cs="Times New Roman" w:asciiTheme="minorEastAsia" w:hAnsiTheme="minorEastAsia"/>
          <w:b/>
          <w:sz w:val="28"/>
          <w:szCs w:val="28"/>
        </w:rPr>
        <w:t>8.规范性</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标准的编写应符合相关的编写要求及规则，如G</w:t>
      </w:r>
      <w:r>
        <w:rPr>
          <w:rFonts w:cs="Times New Roman" w:asciiTheme="minorEastAsia" w:hAnsiTheme="minorEastAsia"/>
          <w:sz w:val="28"/>
          <w:szCs w:val="28"/>
        </w:rPr>
        <w:t>B/T 1</w:t>
      </w:r>
      <w:r>
        <w:rPr>
          <w:rFonts w:hint="eastAsia" w:cs="Times New Roman" w:asciiTheme="minorEastAsia" w:hAnsiTheme="minorEastAsia"/>
          <w:sz w:val="28"/>
          <w:szCs w:val="28"/>
        </w:rPr>
        <w:t>.1-2020、G</w:t>
      </w:r>
      <w:r>
        <w:rPr>
          <w:rFonts w:cs="Times New Roman" w:asciiTheme="minorEastAsia" w:hAnsiTheme="minorEastAsia"/>
          <w:sz w:val="28"/>
          <w:szCs w:val="28"/>
        </w:rPr>
        <w:t>B/T 20000</w:t>
      </w:r>
      <w:r>
        <w:rPr>
          <w:rFonts w:hint="eastAsia" w:cs="Times New Roman" w:asciiTheme="minorEastAsia" w:hAnsiTheme="minorEastAsia"/>
          <w:sz w:val="28"/>
          <w:szCs w:val="28"/>
        </w:rPr>
        <w:t>、G</w:t>
      </w:r>
      <w:r>
        <w:rPr>
          <w:rFonts w:cs="Times New Roman" w:asciiTheme="minorEastAsia" w:hAnsiTheme="minorEastAsia"/>
          <w:sz w:val="28"/>
          <w:szCs w:val="28"/>
        </w:rPr>
        <w:t>B/T 20001</w:t>
      </w:r>
      <w:r>
        <w:rPr>
          <w:rFonts w:hint="eastAsia" w:cs="Times New Roman" w:asciiTheme="minorEastAsia" w:hAnsiTheme="minorEastAsia"/>
          <w:sz w:val="28"/>
          <w:szCs w:val="28"/>
        </w:rPr>
        <w:t>等基础标准。</w:t>
      </w:r>
    </w:p>
    <w:p>
      <w:pPr>
        <w:snapToGrid w:val="0"/>
        <w:spacing w:line="360" w:lineRule="auto"/>
        <w:ind w:firstLine="562" w:firstLineChars="200"/>
        <w:rPr>
          <w:rFonts w:ascii="楷体" w:hAnsi="楷体" w:eastAsia="楷体" w:cs="黑体"/>
          <w:b/>
          <w:sz w:val="28"/>
          <w:szCs w:val="28"/>
        </w:rPr>
      </w:pPr>
      <w:r>
        <w:rPr>
          <w:rFonts w:ascii="楷体" w:hAnsi="楷体" w:eastAsia="楷体" w:cs="黑体"/>
          <w:b/>
          <w:sz w:val="28"/>
          <w:szCs w:val="28"/>
        </w:rPr>
        <w:t>（二）</w:t>
      </w:r>
      <w:r>
        <w:rPr>
          <w:rFonts w:hint="eastAsia" w:ascii="楷体" w:hAnsi="楷体" w:eastAsia="楷体" w:cs="黑体"/>
          <w:b/>
          <w:sz w:val="28"/>
          <w:szCs w:val="28"/>
        </w:rPr>
        <w:t>标准</w:t>
      </w:r>
      <w:r>
        <w:rPr>
          <w:rFonts w:ascii="楷体" w:hAnsi="楷体" w:eastAsia="楷体" w:cs="黑体"/>
          <w:b/>
          <w:sz w:val="28"/>
          <w:szCs w:val="28"/>
        </w:rPr>
        <w:t>主要内容及其确定依据</w:t>
      </w:r>
    </w:p>
    <w:p>
      <w:pPr>
        <w:snapToGrid w:val="0"/>
        <w:spacing w:line="360" w:lineRule="auto"/>
        <w:ind w:firstLine="562" w:firstLineChars="200"/>
        <w:rPr>
          <w:rFonts w:ascii="宋体" w:hAnsi="宋体" w:eastAsia="宋体" w:cs="Times New Roman"/>
          <w:b/>
          <w:sz w:val="28"/>
          <w:szCs w:val="28"/>
        </w:rPr>
      </w:pPr>
      <w:r>
        <w:rPr>
          <w:rFonts w:ascii="宋体" w:hAnsi="宋体" w:eastAsia="宋体" w:cs="Times New Roman"/>
          <w:b/>
          <w:sz w:val="28"/>
          <w:szCs w:val="28"/>
        </w:rPr>
        <w:t>1.制</w:t>
      </w:r>
      <w:r>
        <w:rPr>
          <w:rFonts w:hint="eastAsia" w:ascii="宋体" w:hAnsi="宋体" w:eastAsia="宋体" w:cs="Times New Roman"/>
          <w:b/>
          <w:sz w:val="28"/>
          <w:szCs w:val="28"/>
        </w:rPr>
        <w:t>订</w:t>
      </w:r>
      <w:r>
        <w:rPr>
          <w:rFonts w:ascii="宋体" w:hAnsi="宋体" w:eastAsia="宋体" w:cs="Times New Roman"/>
          <w:b/>
          <w:sz w:val="28"/>
          <w:szCs w:val="28"/>
        </w:rPr>
        <w:t>依据</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本</w:t>
      </w:r>
      <w:r>
        <w:rPr>
          <w:rFonts w:cs="Times New Roman" w:asciiTheme="minorEastAsia" w:hAnsiTheme="minorEastAsia"/>
          <w:sz w:val="28"/>
          <w:szCs w:val="28"/>
        </w:rPr>
        <w:t>标准</w:t>
      </w:r>
      <w:r>
        <w:rPr>
          <w:rFonts w:hint="eastAsia" w:cs="Times New Roman" w:asciiTheme="minorEastAsia" w:hAnsiTheme="minorEastAsia"/>
          <w:sz w:val="28"/>
          <w:szCs w:val="28"/>
        </w:rPr>
        <w:t>的主要技术内容及其论据包括：</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1）政策依据：《中华人民共和国农产品质量安全法》已于2022年9月2日经十三届全国人民代表大会常务委员会第三十六次会议修订通过，自2023年1月1日起施行，规定县级以上人民政府农业行政主管部门应当采取措施，推进保障农产品质量安全的标准化生产综合示。</w:t>
      </w:r>
    </w:p>
    <w:p>
      <w:pPr>
        <w:snapToGrid w:val="0"/>
        <w:spacing w:line="360" w:lineRule="auto"/>
        <w:ind w:firstLine="560" w:firstLineChars="200"/>
        <w:rPr>
          <w:rFonts w:cs="Times New Roman" w:asciiTheme="minorEastAsia" w:hAnsiTheme="minorEastAsia"/>
          <w:sz w:val="28"/>
          <w:szCs w:val="28"/>
        </w:rPr>
      </w:pPr>
      <w:r>
        <w:rPr>
          <w:rFonts w:cs="Times New Roman" w:asciiTheme="minorEastAsia" w:hAnsiTheme="minorEastAsia"/>
          <w:sz w:val="28"/>
          <w:szCs w:val="28"/>
        </w:rPr>
        <w:t>2021年6月，工业和信息化部、中央网信办印发的《关于加快推动区块链技术应用和产业发展的指导意见》提出：“到2025年，区块链产业综合实力达到世界先进水平，产业初具规模。区块链应用渗透到经济社会多个领域，在产品溯源、数据流通、供应链管理等领域培育一批知名产品，形成场景化示范应用”。2021年10月，中共中央、国务院印发的《国家标准化发展纲要》提出：“建立健全土壤质量及监测评价、农业投入品质量、适度规模养殖、循环型生态农业、农产品食品安全、监测预警等绿色农业发展标准”。2022年2月，《“十四五”全国农业农村信息化发展规划》提出：“建成国家农产品质量安全追溯管理信息平台”“完善国家农产品质量安全追溯管理信息平台功能,推广应用’承诺达标合格证+追溯码’模式,努力推动实现从田间到餐桌的全程可追溯”“鼓励运用大数据、物联网、区块链等现代信息技术,探索推进</w:t>
      </w:r>
      <w:r>
        <w:rPr>
          <w:rFonts w:hint="eastAsia" w:cs="Times New Roman" w:asciiTheme="minorEastAsia" w:hAnsiTheme="minorEastAsia"/>
          <w:sz w:val="28"/>
          <w:szCs w:val="28"/>
        </w:rPr>
        <w:t>‘</w:t>
      </w:r>
      <w:r>
        <w:rPr>
          <w:rFonts w:cs="Times New Roman" w:asciiTheme="minorEastAsia" w:hAnsiTheme="minorEastAsia"/>
          <w:sz w:val="28"/>
          <w:szCs w:val="28"/>
        </w:rPr>
        <w:t>阳光农安</w:t>
      </w:r>
      <w:r>
        <w:rPr>
          <w:rFonts w:hint="eastAsia" w:cs="Times New Roman" w:asciiTheme="minorEastAsia" w:hAnsiTheme="minorEastAsia"/>
          <w:sz w:val="28"/>
          <w:szCs w:val="28"/>
        </w:rPr>
        <w:t>’</w:t>
      </w:r>
      <w:r>
        <w:rPr>
          <w:rFonts w:cs="Times New Roman" w:asciiTheme="minorEastAsia" w:hAnsiTheme="minorEastAsia"/>
          <w:sz w:val="28"/>
          <w:szCs w:val="28"/>
        </w:rPr>
        <w:t>,开展农产品产前产中产后全过程的质量安全控制,全面提升农产品质量安全管理水平”。2022年4月，中共中央、国务院印发的《关于加快建设全国统一大市场的意见》提出：“强化标准验证、实施、监督，健全现代流通、大数据、人工智能、区块链、第五代移动通信（5G）、物联网、储能等领域标准体系”。2022年8月，中央网信办、农业农村部等四部委印发的《数字乡村标准体系建设指南》在“农业信息化标准”的“农业经营信息化标准”部分明确包含“农产品质量安全追溯信息化标准”，信息技术在农产品质量安全追溯管理平台建立和质量安全管理实施中的应用，包括农产品质量安全追溯管理平台建设，可追溯食用农产品分类目录、编码标识、操作规范、数据格式、接口规范、信息管理，农产品全过程追溯系统评价等标准。</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2）技术需求依据。通过对3家蔬菜种植企业调研和专家咨询，经过标准起草工作组讨论和分析，基于区块链的蔬菜质量安全溯源技术指南围绕蔬菜种植生产、分拣包装、物流、仓储、产品销售等过程，全流程上链业务所涉及的标志符与代码、区块链存证应用参与方、区块链存证应用关键过程，为国家或农业行政管理部门蔬菜质量安全溯源系统中的品质上链、全程溯源、物流仓储、销售等提供高效、可靠、优质的技术支撑。</w:t>
      </w:r>
    </w:p>
    <w:p>
      <w:pPr>
        <w:snapToGrid w:val="0"/>
        <w:spacing w:line="360" w:lineRule="auto"/>
        <w:ind w:firstLine="562" w:firstLineChars="200"/>
        <w:rPr>
          <w:rFonts w:ascii="宋体" w:hAnsi="宋体" w:eastAsia="宋体" w:cs="Times New Roman"/>
          <w:b/>
          <w:sz w:val="28"/>
          <w:szCs w:val="28"/>
        </w:rPr>
      </w:pPr>
      <w:r>
        <w:rPr>
          <w:rFonts w:ascii="宋体" w:hAnsi="宋体" w:eastAsia="宋体" w:cs="Times New Roman"/>
          <w:b/>
          <w:sz w:val="28"/>
          <w:szCs w:val="28"/>
        </w:rPr>
        <w:t>2.</w:t>
      </w:r>
      <w:r>
        <w:rPr>
          <w:rFonts w:hint="eastAsia" w:ascii="宋体" w:hAnsi="宋体" w:eastAsia="宋体" w:cs="Times New Roman"/>
          <w:b/>
          <w:sz w:val="28"/>
          <w:szCs w:val="28"/>
        </w:rPr>
        <w:t>主要技术内容</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（1）标准范围</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本文件规定了区块链+蔬菜质量安全溯源信息采集的关键环节、溯源信息编码要求、信息采集要求、上链基本溯源数据项等要求。本文适用于蔬菜质量安全溯源数据上链服务的信息采集及管理。</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（2）规范性引用情况</w:t>
      </w:r>
    </w:p>
    <w:p>
      <w:pPr>
        <w:snapToGrid w:val="0"/>
        <w:spacing w:line="360" w:lineRule="auto"/>
        <w:ind w:firstLine="420" w:firstLineChars="150"/>
        <w:rPr>
          <w:rFonts w:cs="方正仿宋简体" w:asciiTheme="minorEastAsia" w:hAnsiTheme="minorEastAsia"/>
          <w:kern w:val="0"/>
          <w:sz w:val="28"/>
          <w:szCs w:val="28"/>
        </w:rPr>
      </w:pPr>
      <w:r>
        <w:rPr>
          <w:rFonts w:hint="eastAsia" w:cs="Times New Roman" w:asciiTheme="minorEastAsia" w:hAnsiTheme="minorEastAsia"/>
          <w:sz w:val="28"/>
          <w:szCs w:val="28"/>
        </w:rPr>
        <w:t>本标准在具体编制过程中参考引用以下相关标准：即《</w:t>
      </w:r>
      <w:r>
        <w:rPr>
          <w:rFonts w:hint="eastAsia" w:cs="方正仿宋简体" w:asciiTheme="minorEastAsia" w:hAnsiTheme="minorEastAsia"/>
          <w:kern w:val="0"/>
          <w:sz w:val="28"/>
          <w:szCs w:val="28"/>
        </w:rPr>
        <w:t>区块链和分布式记账技术 参考架构</w:t>
      </w:r>
      <w:r>
        <w:rPr>
          <w:rFonts w:hint="eastAsia" w:cs="Times New Roman" w:asciiTheme="minorEastAsia" w:hAnsiTheme="minorEastAsia"/>
          <w:sz w:val="28"/>
          <w:szCs w:val="28"/>
        </w:rPr>
        <w:t>》（GB/T 42752-2023）</w:t>
      </w:r>
      <w:r>
        <w:rPr>
          <w:rFonts w:hint="eastAsia" w:cs="方正仿宋简体" w:asciiTheme="minorEastAsia" w:hAnsiTheme="minorEastAsia"/>
          <w:kern w:val="0"/>
          <w:sz w:val="28"/>
          <w:szCs w:val="28"/>
        </w:rPr>
        <w:t xml:space="preserve"> 、《</w:t>
      </w:r>
      <w:r>
        <w:rPr>
          <w:rFonts w:cs="方正仿宋简体" w:asciiTheme="minorEastAsia" w:hAnsiTheme="minorEastAsia"/>
          <w:kern w:val="0"/>
          <w:sz w:val="28"/>
          <w:szCs w:val="28"/>
        </w:rPr>
        <w:t>重要产品追溯</w:t>
      </w:r>
      <w:r>
        <w:rPr>
          <w:rFonts w:hint="eastAsia" w:cs="方正仿宋简体" w:asciiTheme="minorEastAsia" w:hAnsiTheme="minorEastAsia"/>
          <w:kern w:val="0"/>
          <w:sz w:val="28"/>
          <w:szCs w:val="28"/>
        </w:rPr>
        <w:t xml:space="preserve"> </w:t>
      </w:r>
      <w:r>
        <w:rPr>
          <w:rFonts w:cs="方正仿宋简体" w:asciiTheme="minorEastAsia" w:hAnsiTheme="minorEastAsia"/>
          <w:kern w:val="0"/>
          <w:sz w:val="28"/>
          <w:szCs w:val="28"/>
        </w:rPr>
        <w:t>核心元数据》（</w:t>
      </w:r>
      <w:r>
        <w:rPr>
          <w:rFonts w:hint="eastAsia" w:cs="Times New Roman" w:asciiTheme="minorEastAsia" w:hAnsiTheme="minorEastAsia"/>
          <w:sz w:val="28"/>
          <w:szCs w:val="28"/>
        </w:rPr>
        <w:t>GB/T 38154-2019</w:t>
      </w:r>
      <w:r>
        <w:rPr>
          <w:rFonts w:cs="方正仿宋简体" w:asciiTheme="minorEastAsia" w:hAnsiTheme="minorEastAsia"/>
          <w:kern w:val="0"/>
          <w:sz w:val="28"/>
          <w:szCs w:val="28"/>
        </w:rPr>
        <w:t>）</w:t>
      </w:r>
      <w:r>
        <w:rPr>
          <w:rFonts w:hint="eastAsia" w:cs="方正仿宋简体" w:asciiTheme="minorEastAsia" w:hAnsiTheme="minorEastAsia"/>
          <w:kern w:val="0"/>
          <w:sz w:val="28"/>
          <w:szCs w:val="28"/>
        </w:rPr>
        <w:t>、《农产品质量安全追溯操作规程 蔬菜》（</w:t>
      </w:r>
      <w:r>
        <w:rPr>
          <w:rFonts w:hint="eastAsia" w:cs="Times New Roman" w:asciiTheme="minorEastAsia" w:hAnsiTheme="minorEastAsia"/>
          <w:sz w:val="28"/>
          <w:szCs w:val="28"/>
        </w:rPr>
        <w:t>NY/T 1993-2011</w:t>
      </w:r>
      <w:r>
        <w:rPr>
          <w:rFonts w:hint="eastAsia" w:cs="方正仿宋简体" w:asciiTheme="minorEastAsia" w:hAnsiTheme="minorEastAsia"/>
          <w:kern w:val="0"/>
          <w:sz w:val="28"/>
          <w:szCs w:val="28"/>
        </w:rPr>
        <w:t>）、《信息安全技术 个人信息安全规范》（</w:t>
      </w:r>
      <w:r>
        <w:rPr>
          <w:rFonts w:hint="eastAsia" w:cs="Times New Roman" w:asciiTheme="minorEastAsia" w:hAnsiTheme="minorEastAsia"/>
          <w:sz w:val="28"/>
          <w:szCs w:val="28"/>
        </w:rPr>
        <w:t>GB/T 35273</w:t>
      </w:r>
      <w:r>
        <w:rPr>
          <w:rFonts w:hint="eastAsia" w:cs="方正仿宋简体" w:asciiTheme="minorEastAsia" w:hAnsiTheme="minorEastAsia"/>
          <w:kern w:val="0"/>
          <w:sz w:val="28"/>
          <w:szCs w:val="28"/>
        </w:rPr>
        <w:t>）、《</w:t>
      </w:r>
      <w:r>
        <w:rPr>
          <w:rFonts w:cs="方正仿宋简体" w:asciiTheme="minorEastAsia" w:hAnsiTheme="minorEastAsia"/>
          <w:kern w:val="0"/>
          <w:sz w:val="28"/>
          <w:szCs w:val="28"/>
        </w:rPr>
        <w:t>农产品追溯要求</w:t>
      </w:r>
      <w:r>
        <w:rPr>
          <w:rFonts w:hint="eastAsia" w:cs="方正仿宋简体" w:asciiTheme="minorEastAsia" w:hAnsiTheme="minorEastAsia"/>
          <w:kern w:val="0"/>
          <w:sz w:val="28"/>
          <w:szCs w:val="28"/>
        </w:rPr>
        <w:t xml:space="preserve"> </w:t>
      </w:r>
      <w:r>
        <w:rPr>
          <w:rFonts w:cs="方正仿宋简体" w:asciiTheme="minorEastAsia" w:hAnsiTheme="minorEastAsia"/>
          <w:kern w:val="0"/>
          <w:sz w:val="28"/>
          <w:szCs w:val="28"/>
        </w:rPr>
        <w:t>果蔬</w:t>
      </w:r>
      <w:r>
        <w:rPr>
          <w:rFonts w:hint="eastAsia" w:cs="方正仿宋简体" w:asciiTheme="minorEastAsia" w:hAnsiTheme="minorEastAsia"/>
          <w:kern w:val="0"/>
          <w:sz w:val="28"/>
          <w:szCs w:val="28"/>
        </w:rPr>
        <w:t>》（</w:t>
      </w:r>
      <w:r>
        <w:rPr>
          <w:rFonts w:cs="Times New Roman" w:asciiTheme="minorEastAsia" w:hAnsiTheme="minorEastAsia"/>
          <w:sz w:val="28"/>
          <w:szCs w:val="28"/>
        </w:rPr>
        <w:t>GB</w:t>
      </w:r>
      <w:r>
        <w:rPr>
          <w:rFonts w:hint="eastAsia" w:cs="Times New Roman" w:asciiTheme="minorEastAsia" w:hAnsiTheme="minorEastAsia"/>
          <w:sz w:val="28"/>
          <w:szCs w:val="28"/>
        </w:rPr>
        <w:t>/</w:t>
      </w:r>
      <w:r>
        <w:rPr>
          <w:rFonts w:cs="Times New Roman" w:asciiTheme="minorEastAsia" w:hAnsiTheme="minorEastAsia"/>
          <w:sz w:val="28"/>
          <w:szCs w:val="28"/>
        </w:rPr>
        <w:t>T</w:t>
      </w:r>
      <w:r>
        <w:rPr>
          <w:rFonts w:hint="eastAsia" w:cs="Times New Roman" w:asciiTheme="minorEastAsia" w:hAnsiTheme="minorEastAsia"/>
          <w:sz w:val="28"/>
          <w:szCs w:val="28"/>
        </w:rPr>
        <w:t xml:space="preserve"> </w:t>
      </w:r>
      <w:r>
        <w:rPr>
          <w:rFonts w:cs="Times New Roman" w:asciiTheme="minorEastAsia" w:hAnsiTheme="minorEastAsia"/>
          <w:sz w:val="28"/>
          <w:szCs w:val="28"/>
        </w:rPr>
        <w:t>29373-2012</w:t>
      </w:r>
      <w:r>
        <w:rPr>
          <w:rFonts w:hint="eastAsia" w:cs="方正仿宋简体" w:asciiTheme="minorEastAsia" w:hAnsiTheme="minorEastAsia"/>
          <w:kern w:val="0"/>
          <w:sz w:val="28"/>
          <w:szCs w:val="28"/>
        </w:rPr>
        <w:t>）。</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w:t>
      </w:r>
      <w:r>
        <w:rPr>
          <w:rFonts w:hint="eastAsia" w:cs="方正仿宋简体" w:asciiTheme="minorEastAsia" w:hAnsiTheme="minorEastAsia"/>
          <w:kern w:val="0"/>
          <w:sz w:val="28"/>
          <w:szCs w:val="28"/>
        </w:rPr>
        <w:t>区块链和分布式记账技术 参考架构</w:t>
      </w:r>
      <w:r>
        <w:rPr>
          <w:rFonts w:hint="eastAsia" w:cs="Times New Roman" w:asciiTheme="minorEastAsia" w:hAnsiTheme="minorEastAsia"/>
          <w:sz w:val="28"/>
          <w:szCs w:val="28"/>
        </w:rPr>
        <w:t>》（GB/T 42752-2023）规定了区块链参考架构设计的用户视图和功能视图；</w:t>
      </w:r>
    </w:p>
    <w:p>
      <w:pPr>
        <w:snapToGrid w:val="0"/>
        <w:spacing w:line="360" w:lineRule="auto"/>
        <w:ind w:firstLine="560" w:firstLineChars="200"/>
        <w:rPr>
          <w:rFonts w:cs="方正仿宋简体" w:asciiTheme="minorEastAsia" w:hAnsiTheme="minorEastAsia"/>
          <w:kern w:val="0"/>
          <w:sz w:val="28"/>
          <w:szCs w:val="28"/>
        </w:rPr>
      </w:pPr>
      <w:r>
        <w:rPr>
          <w:rFonts w:hint="eastAsia" w:cs="方正仿宋简体" w:asciiTheme="minorEastAsia" w:hAnsiTheme="minorEastAsia"/>
          <w:kern w:val="0"/>
          <w:sz w:val="28"/>
          <w:szCs w:val="28"/>
        </w:rPr>
        <w:t>《</w:t>
      </w:r>
      <w:r>
        <w:rPr>
          <w:rFonts w:cs="方正仿宋简体" w:asciiTheme="minorEastAsia" w:hAnsiTheme="minorEastAsia"/>
          <w:kern w:val="0"/>
          <w:sz w:val="28"/>
          <w:szCs w:val="28"/>
        </w:rPr>
        <w:t>重要产品追溯</w:t>
      </w:r>
      <w:r>
        <w:rPr>
          <w:rFonts w:hint="eastAsia" w:cs="方正仿宋简体" w:asciiTheme="minorEastAsia" w:hAnsiTheme="minorEastAsia"/>
          <w:kern w:val="0"/>
          <w:sz w:val="28"/>
          <w:szCs w:val="28"/>
        </w:rPr>
        <w:t xml:space="preserve"> </w:t>
      </w:r>
      <w:r>
        <w:rPr>
          <w:rFonts w:cs="方正仿宋简体" w:asciiTheme="minorEastAsia" w:hAnsiTheme="minorEastAsia"/>
          <w:kern w:val="0"/>
          <w:sz w:val="28"/>
          <w:szCs w:val="28"/>
        </w:rPr>
        <w:t>核心元数据》（</w:t>
      </w:r>
      <w:r>
        <w:rPr>
          <w:rFonts w:hint="eastAsia" w:cs="Times New Roman" w:asciiTheme="minorEastAsia" w:hAnsiTheme="minorEastAsia"/>
          <w:sz w:val="28"/>
          <w:szCs w:val="28"/>
        </w:rPr>
        <w:t>GB/T 38154-2019</w:t>
      </w:r>
      <w:r>
        <w:rPr>
          <w:rFonts w:cs="方正仿宋简体" w:asciiTheme="minorEastAsia" w:hAnsiTheme="minorEastAsia"/>
          <w:kern w:val="0"/>
          <w:sz w:val="28"/>
          <w:szCs w:val="28"/>
        </w:rPr>
        <w:t>）</w:t>
      </w:r>
      <w:r>
        <w:rPr>
          <w:rFonts w:hint="eastAsia" w:cs="方正仿宋简体" w:asciiTheme="minorEastAsia" w:hAnsiTheme="minorEastAsia"/>
          <w:kern w:val="0"/>
          <w:sz w:val="28"/>
          <w:szCs w:val="28"/>
        </w:rPr>
        <w:t>规定了</w:t>
      </w:r>
      <w:r>
        <w:rPr>
          <w:rFonts w:cs="方正仿宋简体" w:asciiTheme="minorEastAsia" w:hAnsiTheme="minorEastAsia"/>
          <w:kern w:val="0"/>
          <w:sz w:val="28"/>
          <w:szCs w:val="28"/>
        </w:rPr>
        <w:t>重要产品追溯核心元数据的描述方法、元数据模型、重要产品追溯核心元数据描述及核心元数据扩展原则和方法，</w:t>
      </w:r>
      <w:r>
        <w:rPr>
          <w:rFonts w:hint="eastAsia" w:cs="方正仿宋简体" w:asciiTheme="minorEastAsia" w:hAnsiTheme="minorEastAsia"/>
          <w:kern w:val="0"/>
          <w:sz w:val="28"/>
          <w:szCs w:val="28"/>
        </w:rPr>
        <w:t>本标准引用元数据的描述方法；</w:t>
      </w:r>
    </w:p>
    <w:p>
      <w:pPr>
        <w:snapToGrid w:val="0"/>
        <w:spacing w:line="360" w:lineRule="auto"/>
        <w:ind w:firstLine="560" w:firstLineChars="200"/>
        <w:rPr>
          <w:rFonts w:cs="方正仿宋简体" w:asciiTheme="minorEastAsia" w:hAnsiTheme="minorEastAsia"/>
          <w:kern w:val="0"/>
          <w:sz w:val="28"/>
          <w:szCs w:val="28"/>
        </w:rPr>
      </w:pPr>
      <w:r>
        <w:rPr>
          <w:rFonts w:hint="eastAsia" w:cs="方正仿宋简体" w:asciiTheme="minorEastAsia" w:hAnsiTheme="minorEastAsia"/>
          <w:kern w:val="0"/>
          <w:sz w:val="28"/>
          <w:szCs w:val="28"/>
        </w:rPr>
        <w:t>《信息安全技术 个人信息安全规范》（</w:t>
      </w:r>
      <w:r>
        <w:rPr>
          <w:rFonts w:hint="eastAsia" w:cs="Times New Roman" w:asciiTheme="minorEastAsia" w:hAnsiTheme="minorEastAsia"/>
          <w:sz w:val="28"/>
          <w:szCs w:val="28"/>
        </w:rPr>
        <w:t>GB/T 35273</w:t>
      </w:r>
      <w:r>
        <w:rPr>
          <w:rFonts w:hint="eastAsia" w:cs="方正仿宋简体" w:asciiTheme="minorEastAsia" w:hAnsiTheme="minorEastAsia"/>
          <w:kern w:val="0"/>
          <w:sz w:val="28"/>
          <w:szCs w:val="28"/>
        </w:rPr>
        <w:t>）规定了开展手机、存储、使用等个人信息处理活动的原则和安全要求，本标准引用其对个人信息处理活动的原则和安全要求；</w:t>
      </w:r>
    </w:p>
    <w:p>
      <w:pPr>
        <w:snapToGrid w:val="0"/>
        <w:spacing w:line="360" w:lineRule="auto"/>
        <w:ind w:firstLine="560" w:firstLineChars="200"/>
        <w:rPr>
          <w:rFonts w:cs="方正仿宋简体" w:asciiTheme="minorEastAsia" w:hAnsiTheme="minorEastAsia"/>
          <w:kern w:val="0"/>
          <w:sz w:val="28"/>
          <w:szCs w:val="28"/>
        </w:rPr>
      </w:pPr>
      <w:r>
        <w:rPr>
          <w:rFonts w:hint="eastAsia" w:cs="方正仿宋简体" w:asciiTheme="minorEastAsia" w:hAnsiTheme="minorEastAsia"/>
          <w:kern w:val="0"/>
          <w:sz w:val="28"/>
          <w:szCs w:val="28"/>
        </w:rPr>
        <w:t>《农产品质量安全追溯操作规程 蔬菜》（</w:t>
      </w:r>
      <w:r>
        <w:rPr>
          <w:rFonts w:hint="eastAsia" w:cs="Times New Roman" w:asciiTheme="minorEastAsia" w:hAnsiTheme="minorEastAsia"/>
          <w:sz w:val="28"/>
          <w:szCs w:val="28"/>
        </w:rPr>
        <w:t>NY/T 1993-2011</w:t>
      </w:r>
      <w:r>
        <w:rPr>
          <w:rFonts w:hint="eastAsia" w:cs="方正仿宋简体" w:asciiTheme="minorEastAsia" w:hAnsiTheme="minorEastAsia"/>
          <w:kern w:val="0"/>
          <w:sz w:val="28"/>
          <w:szCs w:val="28"/>
        </w:rPr>
        <w:t>）规定了蔬菜质量安全溯源的术语和定义、要求、编码、关键控制点、信息管理、追溯标识、体系运行自查和质量安全问题处理，本标准引用了信息采集描述方法；</w:t>
      </w:r>
    </w:p>
    <w:p>
      <w:pPr>
        <w:snapToGrid w:val="0"/>
        <w:spacing w:line="360" w:lineRule="auto"/>
        <w:ind w:firstLine="560" w:firstLineChars="200"/>
        <w:rPr>
          <w:rFonts w:cs="方正仿宋简体" w:asciiTheme="minorEastAsia" w:hAnsiTheme="minorEastAsia"/>
          <w:kern w:val="0"/>
          <w:sz w:val="28"/>
          <w:szCs w:val="28"/>
        </w:rPr>
      </w:pPr>
      <w:r>
        <w:rPr>
          <w:rFonts w:hint="eastAsia" w:cs="方正仿宋简体" w:asciiTheme="minorEastAsia" w:hAnsiTheme="minorEastAsia"/>
          <w:kern w:val="0"/>
          <w:sz w:val="28"/>
          <w:szCs w:val="28"/>
        </w:rPr>
        <w:t>《</w:t>
      </w:r>
      <w:r>
        <w:rPr>
          <w:rFonts w:cs="方正仿宋简体" w:asciiTheme="minorEastAsia" w:hAnsiTheme="minorEastAsia"/>
          <w:kern w:val="0"/>
          <w:sz w:val="28"/>
          <w:szCs w:val="28"/>
        </w:rPr>
        <w:t>农产品追溯要求</w:t>
      </w:r>
      <w:r>
        <w:rPr>
          <w:rFonts w:hint="eastAsia" w:cs="方正仿宋简体" w:asciiTheme="minorEastAsia" w:hAnsiTheme="minorEastAsia"/>
          <w:kern w:val="0"/>
          <w:sz w:val="28"/>
          <w:szCs w:val="28"/>
        </w:rPr>
        <w:t xml:space="preserve"> </w:t>
      </w:r>
      <w:r>
        <w:rPr>
          <w:rFonts w:cs="方正仿宋简体" w:asciiTheme="minorEastAsia" w:hAnsiTheme="minorEastAsia"/>
          <w:kern w:val="0"/>
          <w:sz w:val="28"/>
          <w:szCs w:val="28"/>
        </w:rPr>
        <w:t>果蔬</w:t>
      </w:r>
      <w:r>
        <w:rPr>
          <w:rFonts w:hint="eastAsia" w:cs="方正仿宋简体" w:asciiTheme="minorEastAsia" w:hAnsiTheme="minorEastAsia"/>
          <w:kern w:val="0"/>
          <w:sz w:val="28"/>
          <w:szCs w:val="28"/>
        </w:rPr>
        <w:t>》（</w:t>
      </w:r>
      <w:r>
        <w:rPr>
          <w:rFonts w:cs="Times New Roman" w:asciiTheme="minorEastAsia" w:hAnsiTheme="minorEastAsia"/>
          <w:sz w:val="28"/>
          <w:szCs w:val="28"/>
        </w:rPr>
        <w:t>GB</w:t>
      </w:r>
      <w:r>
        <w:rPr>
          <w:rFonts w:hint="eastAsia" w:cs="Times New Roman" w:asciiTheme="minorEastAsia" w:hAnsiTheme="minorEastAsia"/>
          <w:sz w:val="28"/>
          <w:szCs w:val="28"/>
        </w:rPr>
        <w:t>/</w:t>
      </w:r>
      <w:r>
        <w:rPr>
          <w:rFonts w:cs="Times New Roman" w:asciiTheme="minorEastAsia" w:hAnsiTheme="minorEastAsia"/>
          <w:sz w:val="28"/>
          <w:szCs w:val="28"/>
        </w:rPr>
        <w:t>T</w:t>
      </w:r>
      <w:r>
        <w:rPr>
          <w:rFonts w:hint="eastAsia" w:cs="Times New Roman" w:asciiTheme="minorEastAsia" w:hAnsiTheme="minorEastAsia"/>
          <w:sz w:val="28"/>
          <w:szCs w:val="28"/>
        </w:rPr>
        <w:t xml:space="preserve"> </w:t>
      </w:r>
      <w:r>
        <w:rPr>
          <w:rFonts w:cs="Times New Roman" w:asciiTheme="minorEastAsia" w:hAnsiTheme="minorEastAsia"/>
          <w:sz w:val="28"/>
          <w:szCs w:val="28"/>
        </w:rPr>
        <w:t>29373-2012</w:t>
      </w:r>
      <w:r>
        <w:rPr>
          <w:rFonts w:hint="eastAsia" w:cs="方正仿宋简体" w:asciiTheme="minorEastAsia" w:hAnsiTheme="minorEastAsia"/>
          <w:kern w:val="0"/>
          <w:sz w:val="28"/>
          <w:szCs w:val="28"/>
        </w:rPr>
        <w:t>）规定了果蔬供应链可追溯体系的构建和追溯信息的记录要求，本标准引用了部分信息记录内容要求；</w:t>
      </w:r>
    </w:p>
    <w:p>
      <w:pPr>
        <w:snapToGrid w:val="0"/>
        <w:spacing w:line="360" w:lineRule="auto"/>
        <w:ind w:firstLine="560" w:firstLineChars="200"/>
        <w:rPr>
          <w:rFonts w:cs="方正仿宋简体" w:asciiTheme="minorEastAsia" w:hAnsiTheme="minorEastAsia"/>
          <w:kern w:val="0"/>
          <w:sz w:val="28"/>
          <w:szCs w:val="28"/>
        </w:rPr>
      </w:pPr>
      <w:r>
        <w:rPr>
          <w:rFonts w:hint="eastAsia" w:cs="方正仿宋简体" w:asciiTheme="minorEastAsia" w:hAnsiTheme="minorEastAsia"/>
          <w:kern w:val="0"/>
          <w:sz w:val="28"/>
          <w:szCs w:val="28"/>
        </w:rPr>
        <w:t>（3）术语和定义</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本标准参考了GB/T 42752、</w:t>
      </w:r>
      <w:r>
        <w:rPr>
          <w:rFonts w:cs="Times New Roman" w:asciiTheme="minorEastAsia" w:hAnsiTheme="minorEastAsia"/>
          <w:sz w:val="28"/>
          <w:szCs w:val="28"/>
        </w:rPr>
        <w:t>GB/T 38155</w:t>
      </w:r>
      <w:r>
        <w:rPr>
          <w:rFonts w:hint="eastAsia" w:cs="Times New Roman" w:asciiTheme="minorEastAsia" w:hAnsiTheme="minorEastAsia"/>
          <w:sz w:val="28"/>
          <w:szCs w:val="28"/>
        </w:rPr>
        <w:t>中术语和定义。</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区块链：使用密码技术链接将共识确认过的区块按顺序追加而形成的分布式记账。</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上链：基于区块链技术将数据资产化后的数据资源加密并发行到相应主体账户的过程。</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溯源：通过记录标识的方法回溯某个物理对象的历史、应用或位置。</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（4）区块链+蔬菜质量安全溯源信息采集规范。</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第一步：经过3家蔬菜种植企业调研及多个专家咨询，标准起草工作组确定育苗环节、种植环节、加工环节、贮藏环节、运输环节及销售环节等关键环节，涉及溯源数据类型125个数据项。</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第二步：确定蔬菜质量安全溯源关键环节。“全产业链溯源关键环节”主要对蔬菜质量安全溯源业务涵盖的环节进行划分规定，包括育苗环节、种植环节、加工环节、贮藏环节、运输环节、销售环节。基于区块链的蔬菜质量安全溯源业务通常配合常规溯源业务，只作为数据存证作用。根据企业需求和消费者调研，上述环节已完全鳗鱼基于区块链的蔬菜质量安全溯源的业务需求，本标准规定了关键环节。</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第三步：明确溯源信息编码要求。本标准通过查阅《农产品质量安全追溯操作规程 蔬菜》（NY/T 1993），规定溯源信息编码应符合该要求，涉及到表示编码按照农业部令（第67号）编码规定。经过调研和讨论，确定了溯源数据的逻辑关系。</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第四步：规范信息采集要求。起草工作组对溯源信息提出了要求，采集的上链信息应真实唯一、准确、完整、有效。溯源信息来源应包括上链主体信息提交的信息、溯源流程关键环节上角色所使用的管理系统、物联网设备、智能传感识别设备等。明确上链数据项数据格式和数据采集频次。起草工作组通过分析研究GB/T 35273-2020 信息安全技术 个人信息安全规范，提出涉及个人信息敏感信息的数据项应符合GB/T 35273的要求。</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第五步：制定上链溯源数据项要求与检查方法。起草工作组通过研究《农产品追溯要求 果蔬》（GB/T 29373）、《农产品质量安全追溯操作规程 蔬菜》（NY/T 1993），提出了按育苗环节、种植环节、加工环节、贮藏环节、运输环节、销售环节中应上链服务的溯源信息。</w:t>
      </w:r>
      <w:r>
        <w:rPr>
          <w:rFonts w:hint="eastAsia" w:cs="Times New Roman" w:asciiTheme="minorEastAsia" w:hAnsiTheme="minorEastAsia"/>
          <w:b/>
          <w:sz w:val="28"/>
          <w:szCs w:val="28"/>
        </w:rPr>
        <w:t>育苗环节</w:t>
      </w:r>
      <w:r>
        <w:rPr>
          <w:rFonts w:hint="eastAsia" w:cs="Times New Roman" w:asciiTheme="minorEastAsia" w:hAnsiTheme="minorEastAsia"/>
          <w:sz w:val="28"/>
          <w:szCs w:val="28"/>
        </w:rPr>
        <w:t>主要包括育苗企业信息、育苗场信息、苗床信息、蔬菜品种信息、蔬菜种子信息、育苗批次信息、育苗过程信息、育苗销售信息；</w:t>
      </w:r>
      <w:r>
        <w:rPr>
          <w:rFonts w:hint="eastAsia" w:cs="Times New Roman" w:asciiTheme="minorEastAsia" w:hAnsiTheme="minorEastAsia"/>
          <w:b/>
          <w:sz w:val="28"/>
          <w:szCs w:val="28"/>
        </w:rPr>
        <w:t>种植环节</w:t>
      </w:r>
      <w:r>
        <w:rPr>
          <w:rFonts w:hint="eastAsia" w:cs="Times New Roman" w:asciiTheme="minorEastAsia" w:hAnsiTheme="minorEastAsia"/>
          <w:sz w:val="28"/>
          <w:szCs w:val="28"/>
        </w:rPr>
        <w:t>主要包括种植企业信息、地块信息、种植信息、投入品信息、农事信息、植保信息、采摘信息等信息；</w:t>
      </w:r>
      <w:r>
        <w:rPr>
          <w:rFonts w:hint="eastAsia" w:cs="Times New Roman" w:asciiTheme="minorEastAsia" w:hAnsiTheme="minorEastAsia"/>
          <w:b/>
          <w:sz w:val="28"/>
          <w:szCs w:val="28"/>
        </w:rPr>
        <w:t>加工环节</w:t>
      </w:r>
      <w:r>
        <w:rPr>
          <w:rFonts w:hint="eastAsia" w:cs="Times New Roman" w:asciiTheme="minorEastAsia" w:hAnsiTheme="minorEastAsia"/>
          <w:sz w:val="28"/>
          <w:szCs w:val="28"/>
        </w:rPr>
        <w:t>主要包括加工企业信息、加工信息、包装信息等；</w:t>
      </w:r>
      <w:r>
        <w:rPr>
          <w:rFonts w:hint="eastAsia" w:cs="Times New Roman" w:asciiTheme="minorEastAsia" w:hAnsiTheme="minorEastAsia"/>
          <w:b/>
          <w:sz w:val="28"/>
          <w:szCs w:val="28"/>
        </w:rPr>
        <w:t>贮藏环节</w:t>
      </w:r>
      <w:r>
        <w:rPr>
          <w:rFonts w:hint="eastAsia" w:cs="Times New Roman" w:asciiTheme="minorEastAsia" w:hAnsiTheme="minorEastAsia"/>
          <w:sz w:val="28"/>
          <w:szCs w:val="28"/>
        </w:rPr>
        <w:t>主要包括贮藏企业信息、仓库信息、入库信息、出库信息等；</w:t>
      </w:r>
      <w:r>
        <w:rPr>
          <w:rFonts w:hint="eastAsia" w:cs="Times New Roman" w:asciiTheme="minorEastAsia" w:hAnsiTheme="minorEastAsia"/>
          <w:b/>
          <w:sz w:val="28"/>
          <w:szCs w:val="28"/>
        </w:rPr>
        <w:t>运输环节</w:t>
      </w:r>
      <w:r>
        <w:rPr>
          <w:rFonts w:hint="eastAsia" w:cs="Times New Roman" w:asciiTheme="minorEastAsia" w:hAnsiTheme="minorEastAsia"/>
          <w:sz w:val="28"/>
          <w:szCs w:val="28"/>
        </w:rPr>
        <w:t>主要包括运输企业信息、运输信息、运输工具信息等；</w:t>
      </w:r>
      <w:r>
        <w:rPr>
          <w:rFonts w:hint="eastAsia" w:cs="Times New Roman" w:asciiTheme="minorEastAsia" w:hAnsiTheme="minorEastAsia"/>
          <w:b/>
          <w:sz w:val="28"/>
          <w:szCs w:val="28"/>
        </w:rPr>
        <w:t>销售环节</w:t>
      </w:r>
      <w:r>
        <w:rPr>
          <w:rFonts w:hint="eastAsia" w:cs="Times New Roman" w:asciiTheme="minorEastAsia" w:hAnsiTheme="minorEastAsia"/>
          <w:sz w:val="28"/>
          <w:szCs w:val="28"/>
        </w:rPr>
        <w:t>主要包括销售商家信息、销售信息等。将上链信息分为必选溯源信息和可选溯源信息两类。必选信息是必须要上链进行存证的信息，满足政府监管、企业和消费查询的要求，可选信息是非必要的上链存证信息，可满足基于区块链的蔬菜质量安全溯源的增值业务需求。本标准的附录A给出了区块链+蔬菜质量安全溯源全部溯源数据项。检查提供溯源数据服务的信息服务商的系统是否按照本文件要求存储溯源信息。</w:t>
      </w:r>
    </w:p>
    <w:p>
      <w:pPr>
        <w:pStyle w:val="2"/>
        <w:snapToGrid w:val="0"/>
        <w:spacing w:before="0" w:after="0" w:line="360" w:lineRule="auto"/>
        <w:ind w:firstLine="562" w:firstLineChars="200"/>
        <w:rPr>
          <w:rFonts w:ascii="黑体" w:hAnsi="黑体" w:eastAsia="黑体" w:cs="Times New Roman"/>
          <w:sz w:val="28"/>
          <w:szCs w:val="28"/>
        </w:rPr>
      </w:pPr>
      <w:bookmarkStart w:id="4" w:name="_Toc85035213"/>
      <w:bookmarkStart w:id="5" w:name="_Toc27553"/>
      <w:r>
        <w:rPr>
          <w:rFonts w:ascii="黑体" w:hAnsi="黑体" w:eastAsia="黑体" w:cs="Times New Roman"/>
          <w:sz w:val="28"/>
          <w:szCs w:val="28"/>
        </w:rPr>
        <w:t>三、</w:t>
      </w:r>
      <w:r>
        <w:rPr>
          <w:rFonts w:hint="eastAsia" w:ascii="黑体" w:hAnsi="黑体" w:eastAsia="黑体" w:cs="Times New Roman"/>
          <w:sz w:val="28"/>
          <w:szCs w:val="28"/>
        </w:rPr>
        <w:t>试验验证报告，技术经济论证，预期经济效果</w:t>
      </w:r>
      <w:bookmarkEnd w:id="4"/>
      <w:bookmarkEnd w:id="5"/>
    </w:p>
    <w:p>
      <w:pPr>
        <w:snapToGrid w:val="0"/>
        <w:spacing w:line="360" w:lineRule="auto"/>
        <w:ind w:firstLine="562" w:firstLineChars="200"/>
        <w:rPr>
          <w:rFonts w:ascii="宋体" w:hAnsi="宋体" w:eastAsia="宋体" w:cs="Times New Roman"/>
          <w:b/>
          <w:sz w:val="28"/>
          <w:szCs w:val="28"/>
        </w:rPr>
      </w:pPr>
      <w:r>
        <w:rPr>
          <w:rFonts w:hint="eastAsia" w:ascii="宋体" w:hAnsi="宋体" w:eastAsia="宋体" w:cs="Times New Roman"/>
          <w:b/>
          <w:sz w:val="28"/>
          <w:szCs w:val="28"/>
        </w:rPr>
        <w:t>（一）实验验证报告及技术经济论证</w:t>
      </w:r>
    </w:p>
    <w:p>
      <w:pPr>
        <w:snapToGrid w:val="0"/>
        <w:spacing w:line="360" w:lineRule="auto"/>
        <w:ind w:firstLine="562" w:firstLineChars="200"/>
        <w:rPr>
          <w:rFonts w:cs="Times New Roman" w:asciiTheme="minorEastAsia" w:hAnsiTheme="minorEastAsia"/>
          <w:b/>
          <w:sz w:val="28"/>
          <w:szCs w:val="28"/>
        </w:rPr>
      </w:pPr>
      <w:r>
        <w:rPr>
          <w:rFonts w:hint="eastAsia" w:cs="Times New Roman" w:asciiTheme="minorEastAsia" w:hAnsiTheme="minorEastAsia"/>
          <w:b/>
          <w:sz w:val="28"/>
          <w:szCs w:val="28"/>
        </w:rPr>
        <w:t>1.实验验证报告、综述分析</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在标准研制过程中，充分调研了多地蔬菜生产基地溯源业务的应用情况，并重点针对潍坊市进行了项目实践，通过在项目中采集数据的实际情况总结、归纳和提炼而形成的。同时，对标准内容充分征求了工作组、业界专家、技术支撑单位的意见建议，论证了本标准的必要性和普适性。</w:t>
      </w:r>
    </w:p>
    <w:p>
      <w:pPr>
        <w:snapToGrid w:val="0"/>
        <w:spacing w:line="360" w:lineRule="auto"/>
        <w:ind w:firstLine="562" w:firstLineChars="200"/>
        <w:rPr>
          <w:rFonts w:cs="Times New Roman" w:asciiTheme="minorEastAsia" w:hAnsiTheme="minorEastAsia"/>
          <w:b/>
          <w:sz w:val="28"/>
          <w:szCs w:val="28"/>
        </w:rPr>
      </w:pPr>
      <w:r>
        <w:rPr>
          <w:rFonts w:hint="eastAsia" w:cs="Times New Roman" w:asciiTheme="minorEastAsia" w:hAnsiTheme="minorEastAsia"/>
          <w:b/>
          <w:sz w:val="28"/>
          <w:szCs w:val="28"/>
        </w:rPr>
        <w:t>2.技术经济论证</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本标准验证由中国电信集团有限公司进行，通过在潍坊市坊子区玉泉洼合作社进行“区块链+蔬菜”溯源的创新应用探索，作为区块链在蔬菜溯源领域应用的项目实践。在项目过程中，充分利用了区块链技术的去中心化、链上数据不可篡改、可追溯特性，实现全产业链各环节全程溯源，结合实际业务需求，对数据采集历经了多轮验证和总结。</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在此过程中，对蔬菜溯源各环节采集数据进行了多轮、详尽的生产验证分析，通过实际生产活动验证了本标准的科学性、合理性。</w:t>
      </w:r>
    </w:p>
    <w:p>
      <w:pPr>
        <w:snapToGrid w:val="0"/>
        <w:spacing w:line="360" w:lineRule="auto"/>
        <w:ind w:firstLine="562" w:firstLineChars="200"/>
        <w:rPr>
          <w:rFonts w:cs="Times New Roman" w:asciiTheme="minorEastAsia" w:hAnsiTheme="minorEastAsia"/>
          <w:b/>
          <w:sz w:val="28"/>
          <w:szCs w:val="28"/>
        </w:rPr>
      </w:pPr>
      <w:r>
        <w:rPr>
          <w:rFonts w:hint="eastAsia" w:cs="Times New Roman" w:asciiTheme="minorEastAsia" w:hAnsiTheme="minorEastAsia"/>
          <w:b/>
          <w:sz w:val="28"/>
          <w:szCs w:val="28"/>
        </w:rPr>
        <w:t>3.预期经济效果</w:t>
      </w:r>
    </w:p>
    <w:p>
      <w:pPr>
        <w:snapToGrid w:val="0"/>
        <w:spacing w:line="360" w:lineRule="auto"/>
        <w:ind w:firstLine="560" w:firstLineChars="200"/>
        <w:rPr>
          <w:rFonts w:cs="Times New Roman" w:asciiTheme="minorEastAsia" w:hAnsiTheme="minorEastAsia"/>
          <w:color w:val="0000FF"/>
          <w:sz w:val="28"/>
          <w:szCs w:val="28"/>
        </w:rPr>
      </w:pPr>
      <w:r>
        <w:rPr>
          <w:rFonts w:hint="eastAsia" w:cs="Times New Roman" w:asciiTheme="minorEastAsia" w:hAnsiTheme="minorEastAsia"/>
          <w:sz w:val="28"/>
          <w:szCs w:val="28"/>
        </w:rPr>
        <w:t>2022年，国内蔬菜种植总面积达22,434.06千公顷，总产量79,997.22万吨。本标准的制定对基于区块链技术的蔬菜溯源领域的数据采集规范应用起到积极推进作用，本标准将会对规范市场有重要作用，同时为蔬菜质量安全追溯提供重要依据。</w:t>
      </w:r>
    </w:p>
    <w:p>
      <w:pPr>
        <w:snapToGrid w:val="0"/>
        <w:spacing w:line="360" w:lineRule="auto"/>
        <w:ind w:firstLine="562" w:firstLineChars="200"/>
        <w:rPr>
          <w:rFonts w:ascii="楷体" w:hAnsi="楷体" w:eastAsia="楷体" w:cs="黑体"/>
          <w:b/>
          <w:sz w:val="28"/>
          <w:szCs w:val="28"/>
        </w:rPr>
      </w:pPr>
      <w:r>
        <w:rPr>
          <w:rFonts w:hint="eastAsia" w:ascii="楷体" w:hAnsi="楷体" w:eastAsia="楷体" w:cs="黑体"/>
          <w:b/>
          <w:sz w:val="28"/>
          <w:szCs w:val="28"/>
        </w:rPr>
        <w:t>（二）经济合理</w:t>
      </w:r>
      <w:r>
        <w:rPr>
          <w:rFonts w:ascii="楷体" w:hAnsi="楷体" w:eastAsia="楷体" w:cs="黑体"/>
          <w:b/>
          <w:sz w:val="28"/>
          <w:szCs w:val="28"/>
        </w:rPr>
        <w:t>性论证和预期效果</w:t>
      </w:r>
    </w:p>
    <w:p>
      <w:pPr>
        <w:snapToGrid w:val="0"/>
        <w:spacing w:line="360" w:lineRule="auto"/>
        <w:ind w:firstLine="562" w:firstLineChars="200"/>
        <w:rPr>
          <w:rFonts w:cs="Times New Roman" w:asciiTheme="minorEastAsia" w:hAnsiTheme="minorEastAsia"/>
          <w:b/>
          <w:sz w:val="28"/>
          <w:szCs w:val="28"/>
        </w:rPr>
      </w:pPr>
      <w:r>
        <w:rPr>
          <w:rFonts w:hint="eastAsia" w:cs="Times New Roman" w:asciiTheme="minorEastAsia" w:hAnsiTheme="minorEastAsia"/>
          <w:b/>
          <w:sz w:val="28"/>
          <w:szCs w:val="28"/>
        </w:rPr>
        <w:t>1.经济合理性论证</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一方面，蔬菜市场规模大，区块链+蔬菜质量安全溯源应用前景广阔。2022年我国蔬菜播种面积达22376千公顷，蔬菜产值达79100万吨，是全球蔬菜产量最大的国家。目前全球大型农业、信息技术企业正在寻求利用区块链技术来搭建一个覆盖全球的农业供应链体系。比如IBM公司推出的IBM Food Trust是农业区块链技术解决方案，通过消除供应链中不透明、食品来源、交易数据不共享等瓶颈。区块链+蔬菜在中国具有更加广阔的市场空间。</w:t>
      </w:r>
    </w:p>
    <w:p>
      <w:pPr>
        <w:snapToGrid w:val="0"/>
        <w:spacing w:line="360" w:lineRule="auto"/>
        <w:ind w:firstLine="560" w:firstLineChars="200"/>
        <w:rPr>
          <w:rFonts w:cs="Times New Roman" w:asciiTheme="minorEastAsia" w:hAnsiTheme="minorEastAsia"/>
          <w:b/>
          <w:sz w:val="28"/>
          <w:szCs w:val="28"/>
        </w:rPr>
      </w:pPr>
      <w:r>
        <w:rPr>
          <w:rFonts w:hint="eastAsia" w:cs="Times New Roman" w:asciiTheme="minorEastAsia" w:hAnsiTheme="minorEastAsia"/>
          <w:sz w:val="28"/>
          <w:szCs w:val="28"/>
        </w:rPr>
        <w:t>另一方面，区块链技术的标准化加快规模降低区块链系统部署成本。农业区块链应用包括系统（APP）的开发及人工的维护、硬件消耗，如一般小规模、数据量不大的项目，每年基本上需要5～6台服务器、2～3个运维人员、在加上链授权费用，物联网终端设备等，一年使用成本至少也需要20万。在中国巨大的市场空间作用下，通过区块链的标准化覆盖所有蔬菜的类型，边际使用成本将持续下降，助力规模化推广。</w:t>
      </w:r>
    </w:p>
    <w:p>
      <w:pPr>
        <w:snapToGrid w:val="0"/>
        <w:spacing w:line="360" w:lineRule="auto"/>
        <w:ind w:firstLine="562" w:firstLineChars="200"/>
        <w:rPr>
          <w:rFonts w:cs="Times New Roman" w:asciiTheme="minorEastAsia" w:hAnsiTheme="minorEastAsia"/>
          <w:b/>
          <w:sz w:val="28"/>
          <w:szCs w:val="28"/>
        </w:rPr>
      </w:pPr>
      <w:r>
        <w:rPr>
          <w:rFonts w:hint="eastAsia" w:cs="Times New Roman" w:asciiTheme="minorEastAsia" w:hAnsiTheme="minorEastAsia"/>
          <w:b/>
          <w:sz w:val="28"/>
          <w:szCs w:val="28"/>
        </w:rPr>
        <w:t>2.预期达到的经济效果</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区块链作为一种现代创新技术，具有广阔的应用潜力。根据国际知名研究机构Verified Market Research预测，到2026年农产品及食品供应链领域的区块链市场规模将达到17.77亿美元，复合增长率超过45%。</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区块链+蔬菜质量安全溯源涉及产业链上下游以及监管部分的多方协同。由于区块链可链接农户、农业合作社、加工商、零售商、消费者等多产业主体，实现同步记录供应链数据、信息实时共享，解决产业链不同环节间信息不对称等问题，通过多方参与区块链带动产业链上下游规模发展。</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区块链+韭菜质量安全溯源试点同时也证明，通过区块链技术可以增加蔬菜产品的可信度，让蔬菜产品实现降本增效。一方面，通过该平台蔬菜种植投入品如水、肥、药节省10%以上，降低劳动力成本超过15%；另一方面，该平台助力蔬菜品质大幅提升，市场实践证明区块链认证的蔬菜品质要比平常栽培蔬菜价高50%以上，真正让吃上放心菜、安全菜。</w:t>
      </w:r>
    </w:p>
    <w:p>
      <w:pPr>
        <w:pStyle w:val="2"/>
        <w:snapToGrid w:val="0"/>
        <w:spacing w:before="0" w:after="0" w:line="360" w:lineRule="auto"/>
        <w:ind w:firstLine="562" w:firstLineChars="200"/>
        <w:rPr>
          <w:rFonts w:ascii="黑体" w:hAnsi="黑体" w:eastAsia="黑体" w:cs="Times New Roman"/>
          <w:sz w:val="28"/>
          <w:szCs w:val="28"/>
        </w:rPr>
      </w:pPr>
      <w:bookmarkStart w:id="6" w:name="_Toc85035214"/>
      <w:bookmarkStart w:id="7" w:name="_Toc4022"/>
      <w:r>
        <w:rPr>
          <w:rFonts w:ascii="黑体" w:hAnsi="黑体" w:eastAsia="黑体" w:cs="Times New Roman"/>
          <w:sz w:val="28"/>
          <w:szCs w:val="28"/>
        </w:rPr>
        <w:t>四、</w:t>
      </w:r>
      <w:r>
        <w:rPr>
          <w:rFonts w:hint="eastAsia" w:ascii="黑体" w:hAnsi="黑体" w:eastAsia="黑体" w:cs="Times New Roman"/>
          <w:sz w:val="28"/>
          <w:szCs w:val="28"/>
        </w:rPr>
        <w:t>与国际国外同类标准的比对情况</w:t>
      </w:r>
      <w:bookmarkEnd w:id="6"/>
      <w:bookmarkEnd w:id="7"/>
    </w:p>
    <w:p>
      <w:pPr>
        <w:snapToGrid w:val="0"/>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本标准根据我国蔬菜生产的特点，制定了相关标准内容，适合我国国情，未开展与同类国际、国外标准的技术对比。</w:t>
      </w:r>
    </w:p>
    <w:p>
      <w:pPr>
        <w:pStyle w:val="2"/>
        <w:snapToGrid w:val="0"/>
        <w:spacing w:before="0" w:after="0" w:line="360" w:lineRule="auto"/>
        <w:ind w:firstLine="562" w:firstLineChars="200"/>
        <w:rPr>
          <w:rFonts w:ascii="黑体" w:hAnsi="黑体" w:eastAsia="黑体" w:cs="Times New Roman"/>
          <w:sz w:val="28"/>
          <w:szCs w:val="28"/>
        </w:rPr>
      </w:pPr>
      <w:bookmarkStart w:id="8" w:name="_Toc24515"/>
      <w:bookmarkStart w:id="9" w:name="_Toc85035215"/>
      <w:r>
        <w:rPr>
          <w:rFonts w:hint="eastAsia" w:ascii="黑体" w:hAnsi="黑体" w:eastAsia="黑体" w:cs="Times New Roman"/>
          <w:sz w:val="28"/>
          <w:szCs w:val="28"/>
        </w:rPr>
        <w:t>五、引用、采用或参考国际国外标准情况</w:t>
      </w:r>
      <w:bookmarkEnd w:id="8"/>
      <w:bookmarkEnd w:id="9"/>
    </w:p>
    <w:p>
      <w:pPr>
        <w:snapToGrid w:val="0"/>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现阶段并未涉及国际标准。本标准为自主研制，不涉及采用国际或国外标准，且不涉及引用、参考国际国外标准情况。</w:t>
      </w:r>
    </w:p>
    <w:p>
      <w:pPr>
        <w:pStyle w:val="2"/>
        <w:snapToGrid w:val="0"/>
        <w:spacing w:before="0" w:after="0" w:line="360" w:lineRule="auto"/>
        <w:ind w:firstLine="562" w:firstLineChars="200"/>
        <w:rPr>
          <w:rFonts w:ascii="黑体" w:hAnsi="黑体" w:eastAsia="黑体" w:cs="Times New Roman"/>
          <w:sz w:val="28"/>
          <w:szCs w:val="28"/>
        </w:rPr>
      </w:pPr>
      <w:bookmarkStart w:id="10" w:name="_Toc85035216"/>
      <w:bookmarkStart w:id="11" w:name="_Toc17960"/>
      <w:r>
        <w:rPr>
          <w:rFonts w:hint="eastAsia" w:ascii="黑体" w:hAnsi="黑体" w:eastAsia="黑体" w:cs="Times New Roman"/>
          <w:sz w:val="28"/>
          <w:szCs w:val="28"/>
        </w:rPr>
        <w:t>六</w:t>
      </w:r>
      <w:r>
        <w:rPr>
          <w:rFonts w:ascii="黑体" w:hAnsi="黑体" w:eastAsia="黑体" w:cs="Times New Roman"/>
          <w:sz w:val="28"/>
          <w:szCs w:val="28"/>
        </w:rPr>
        <w:t>、</w:t>
      </w:r>
      <w:r>
        <w:rPr>
          <w:rFonts w:hint="eastAsia" w:ascii="黑体" w:hAnsi="黑体" w:eastAsia="黑体" w:cs="Times New Roman"/>
          <w:sz w:val="28"/>
          <w:szCs w:val="28"/>
        </w:rPr>
        <w:t>与现行法律法规、强制性标准、相关标准的关系</w:t>
      </w:r>
      <w:bookmarkEnd w:id="10"/>
      <w:bookmarkEnd w:id="11"/>
    </w:p>
    <w:p>
      <w:pPr>
        <w:snapToGrid w:val="0"/>
        <w:spacing w:line="360" w:lineRule="auto"/>
        <w:ind w:firstLine="562" w:firstLineChars="200"/>
        <w:rPr>
          <w:rFonts w:ascii="楷体" w:hAnsi="楷体" w:eastAsia="楷体" w:cs="黑体"/>
          <w:b/>
          <w:sz w:val="28"/>
          <w:szCs w:val="28"/>
        </w:rPr>
      </w:pPr>
      <w:r>
        <w:rPr>
          <w:rFonts w:hint="eastAsia" w:ascii="楷体" w:hAnsi="楷体" w:eastAsia="楷体" w:cs="黑体"/>
          <w:b/>
          <w:sz w:val="28"/>
          <w:szCs w:val="28"/>
        </w:rPr>
        <w:t>（一）</w:t>
      </w:r>
      <w:r>
        <w:rPr>
          <w:rFonts w:ascii="楷体" w:hAnsi="楷体" w:eastAsia="楷体" w:cs="黑体"/>
          <w:b/>
          <w:sz w:val="28"/>
          <w:szCs w:val="28"/>
        </w:rPr>
        <w:t>与现行法律法规的协调性</w:t>
      </w:r>
    </w:p>
    <w:p>
      <w:pPr>
        <w:snapToGrid w:val="0"/>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本标准不存在与有关现行法律法规的冲突或矛盾。</w:t>
      </w:r>
    </w:p>
    <w:p>
      <w:pPr>
        <w:snapToGrid w:val="0"/>
        <w:spacing w:line="360" w:lineRule="auto"/>
        <w:ind w:firstLine="562" w:firstLineChars="200"/>
        <w:rPr>
          <w:rFonts w:ascii="楷体" w:hAnsi="楷体" w:eastAsia="楷体" w:cs="黑体"/>
          <w:b/>
          <w:sz w:val="28"/>
          <w:szCs w:val="28"/>
        </w:rPr>
      </w:pPr>
      <w:r>
        <w:rPr>
          <w:rFonts w:hint="eastAsia" w:ascii="楷体" w:hAnsi="楷体" w:eastAsia="楷体" w:cs="黑体"/>
          <w:b/>
          <w:sz w:val="28"/>
          <w:szCs w:val="28"/>
        </w:rPr>
        <w:t>（二）</w:t>
      </w:r>
      <w:r>
        <w:rPr>
          <w:rFonts w:ascii="楷体" w:hAnsi="楷体" w:eastAsia="楷体" w:cs="黑体"/>
          <w:b/>
          <w:sz w:val="28"/>
          <w:szCs w:val="28"/>
        </w:rPr>
        <w:t>与强制性标准的协调性</w:t>
      </w:r>
    </w:p>
    <w:p>
      <w:pPr>
        <w:snapToGrid w:val="0"/>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本标准不存在与强制性国家标准的冲突或矛盾。</w:t>
      </w:r>
    </w:p>
    <w:p>
      <w:pPr>
        <w:snapToGrid w:val="0"/>
        <w:spacing w:line="360" w:lineRule="auto"/>
        <w:ind w:firstLine="562" w:firstLineChars="200"/>
        <w:rPr>
          <w:rFonts w:ascii="楷体" w:hAnsi="楷体" w:eastAsia="楷体" w:cs="黑体"/>
          <w:b/>
          <w:sz w:val="28"/>
          <w:szCs w:val="28"/>
        </w:rPr>
      </w:pPr>
      <w:r>
        <w:rPr>
          <w:rFonts w:hint="eastAsia" w:ascii="楷体" w:hAnsi="楷体" w:eastAsia="楷体" w:cs="黑体"/>
          <w:b/>
          <w:sz w:val="28"/>
          <w:szCs w:val="28"/>
        </w:rPr>
        <w:t>（三）与相关标准的协调性</w:t>
      </w:r>
    </w:p>
    <w:p>
      <w:pPr>
        <w:snapToGrid w:val="0"/>
        <w:spacing w:line="360" w:lineRule="auto"/>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本标准在编制过程中参考或引用过《</w:t>
      </w:r>
      <w:r>
        <w:rPr>
          <w:rFonts w:hint="eastAsia" w:cs="方正仿宋简体" w:asciiTheme="minorEastAsia" w:hAnsiTheme="minorEastAsia"/>
          <w:kern w:val="0"/>
          <w:sz w:val="28"/>
          <w:szCs w:val="28"/>
        </w:rPr>
        <w:t>区块链和分布式记账技术 参考架构</w:t>
      </w:r>
      <w:r>
        <w:rPr>
          <w:rFonts w:hint="eastAsia" w:cs="Times New Roman" w:asciiTheme="minorEastAsia" w:hAnsiTheme="minorEastAsia"/>
          <w:sz w:val="28"/>
          <w:szCs w:val="28"/>
        </w:rPr>
        <w:t>》（GB/T 42752-2023）、</w:t>
      </w:r>
      <w:r>
        <w:rPr>
          <w:rFonts w:hint="eastAsia" w:cs="方正仿宋简体" w:asciiTheme="minorEastAsia" w:hAnsiTheme="minorEastAsia"/>
          <w:kern w:val="0"/>
          <w:sz w:val="28"/>
          <w:szCs w:val="28"/>
        </w:rPr>
        <w:t>《重要产品追溯 核心元数据》（GB/T 38154-2019）、《信息安全技术 个人信息安全规范》（GB/T 35273-2020）、《农产品质量安全追溯操作规程 蔬菜》（NY/T 1993-2011）、《</w:t>
      </w:r>
      <w:r>
        <w:rPr>
          <w:rFonts w:cs="方正仿宋简体" w:asciiTheme="minorEastAsia" w:hAnsiTheme="minorEastAsia"/>
          <w:kern w:val="0"/>
          <w:sz w:val="28"/>
          <w:szCs w:val="28"/>
        </w:rPr>
        <w:t>农产品追溯要求果蔬</w:t>
      </w:r>
      <w:r>
        <w:rPr>
          <w:rFonts w:hint="eastAsia" w:cs="方正仿宋简体" w:asciiTheme="minorEastAsia" w:hAnsiTheme="minorEastAsia"/>
          <w:kern w:val="0"/>
          <w:sz w:val="28"/>
          <w:szCs w:val="28"/>
        </w:rPr>
        <w:t>》（</w:t>
      </w:r>
      <w:r>
        <w:rPr>
          <w:rFonts w:cs="方正仿宋简体" w:asciiTheme="minorEastAsia" w:hAnsiTheme="minorEastAsia"/>
          <w:kern w:val="0"/>
          <w:sz w:val="28"/>
          <w:szCs w:val="28"/>
        </w:rPr>
        <w:t>GB</w:t>
      </w:r>
      <w:r>
        <w:rPr>
          <w:rFonts w:hint="eastAsia" w:cs="方正仿宋简体" w:asciiTheme="minorEastAsia" w:hAnsiTheme="minorEastAsia"/>
          <w:kern w:val="0"/>
          <w:sz w:val="28"/>
          <w:szCs w:val="28"/>
        </w:rPr>
        <w:t>/</w:t>
      </w:r>
      <w:r>
        <w:rPr>
          <w:rFonts w:cs="方正仿宋简体" w:asciiTheme="minorEastAsia" w:hAnsiTheme="minorEastAsia"/>
          <w:kern w:val="0"/>
          <w:sz w:val="28"/>
          <w:szCs w:val="28"/>
        </w:rPr>
        <w:t>T</w:t>
      </w:r>
      <w:r>
        <w:rPr>
          <w:rFonts w:hint="eastAsia" w:cs="方正仿宋简体" w:asciiTheme="minorEastAsia" w:hAnsiTheme="minorEastAsia"/>
          <w:kern w:val="0"/>
          <w:sz w:val="28"/>
          <w:szCs w:val="28"/>
        </w:rPr>
        <w:t xml:space="preserve"> </w:t>
      </w:r>
      <w:r>
        <w:rPr>
          <w:rFonts w:cs="方正仿宋简体" w:asciiTheme="minorEastAsia" w:hAnsiTheme="minorEastAsia"/>
          <w:kern w:val="0"/>
          <w:sz w:val="28"/>
          <w:szCs w:val="28"/>
        </w:rPr>
        <w:t>29373-2012</w:t>
      </w:r>
      <w:r>
        <w:rPr>
          <w:rFonts w:hint="eastAsia" w:cs="方正仿宋简体" w:asciiTheme="minorEastAsia" w:hAnsiTheme="minorEastAsia"/>
          <w:kern w:val="0"/>
          <w:sz w:val="28"/>
          <w:szCs w:val="28"/>
        </w:rPr>
        <w:t>）、《农产品质量追溯信息交换接口规范》（NY/</w:t>
      </w:r>
      <w:r>
        <w:rPr>
          <w:rFonts w:cs="方正仿宋简体" w:asciiTheme="minorEastAsia" w:hAnsiTheme="minorEastAsia"/>
          <w:kern w:val="0"/>
          <w:sz w:val="28"/>
          <w:szCs w:val="28"/>
        </w:rPr>
        <w:t>T</w:t>
      </w:r>
      <w:r>
        <w:rPr>
          <w:rFonts w:hint="eastAsia" w:cs="方正仿宋简体" w:asciiTheme="minorEastAsia" w:hAnsiTheme="minorEastAsia"/>
          <w:kern w:val="0"/>
          <w:sz w:val="28"/>
          <w:szCs w:val="28"/>
        </w:rPr>
        <w:t xml:space="preserve"> 2531-2013）、《农业信息资源分类与编码》（NY/</w:t>
      </w:r>
      <w:r>
        <w:rPr>
          <w:rFonts w:cs="方正仿宋简体" w:asciiTheme="minorEastAsia" w:hAnsiTheme="minorEastAsia"/>
          <w:kern w:val="0"/>
          <w:sz w:val="28"/>
          <w:szCs w:val="28"/>
        </w:rPr>
        <w:t>T</w:t>
      </w:r>
      <w:r>
        <w:rPr>
          <w:rFonts w:hint="eastAsia" w:cs="方正仿宋简体" w:asciiTheme="minorEastAsia" w:hAnsiTheme="minorEastAsia"/>
          <w:kern w:val="0"/>
          <w:sz w:val="28"/>
          <w:szCs w:val="28"/>
        </w:rPr>
        <w:t xml:space="preserve"> 3987-2021）等标准文件，并结合农产品质量追溯实际情况以及管理应用需求进行编制，在编制过程中充分思考与现行标准之间的技术指标方面的一致性或协调性。在术语定义方面，尽可能的引用已有术语表达。在具体要求和规范方面，对于已有相关标准规定的内容，均规定按已有的相关标准执行。</w:t>
      </w:r>
    </w:p>
    <w:p>
      <w:pPr>
        <w:pStyle w:val="2"/>
        <w:snapToGrid w:val="0"/>
        <w:spacing w:before="0" w:after="0" w:line="360" w:lineRule="auto"/>
        <w:ind w:firstLine="562" w:firstLineChars="200"/>
        <w:rPr>
          <w:rFonts w:ascii="黑体" w:hAnsi="黑体" w:eastAsia="黑体" w:cs="Times New Roman"/>
          <w:sz w:val="28"/>
          <w:szCs w:val="28"/>
        </w:rPr>
      </w:pPr>
      <w:bookmarkStart w:id="12" w:name="_Toc11527"/>
      <w:bookmarkStart w:id="13" w:name="_Toc85035217"/>
      <w:r>
        <w:rPr>
          <w:rFonts w:hint="eastAsia" w:ascii="黑体" w:hAnsi="黑体" w:eastAsia="黑体" w:cs="Times New Roman"/>
          <w:sz w:val="28"/>
          <w:szCs w:val="28"/>
        </w:rPr>
        <w:t>七</w:t>
      </w:r>
      <w:r>
        <w:rPr>
          <w:rFonts w:ascii="黑体" w:hAnsi="黑体" w:eastAsia="黑体" w:cs="Times New Roman"/>
          <w:sz w:val="28"/>
          <w:szCs w:val="28"/>
        </w:rPr>
        <w:t>、重大分歧意见的处理经过和依据</w:t>
      </w:r>
      <w:bookmarkEnd w:id="12"/>
      <w:bookmarkEnd w:id="13"/>
    </w:p>
    <w:p>
      <w:pPr>
        <w:snapToGrid w:val="0"/>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无</w:t>
      </w:r>
      <w:r>
        <w:rPr>
          <w:rFonts w:hint="eastAsia" w:ascii="Times New Roman" w:hAnsi="Times New Roman" w:cs="Times New Roman"/>
          <w:sz w:val="28"/>
          <w:szCs w:val="28"/>
        </w:rPr>
        <w:t>。</w:t>
      </w:r>
    </w:p>
    <w:p>
      <w:pPr>
        <w:pStyle w:val="2"/>
        <w:snapToGrid w:val="0"/>
        <w:spacing w:before="0" w:after="0" w:line="360" w:lineRule="auto"/>
        <w:ind w:firstLine="562" w:firstLineChars="200"/>
        <w:rPr>
          <w:rFonts w:ascii="黑体" w:hAnsi="黑体" w:eastAsia="黑体" w:cs="Times New Roman"/>
          <w:sz w:val="28"/>
          <w:szCs w:val="28"/>
        </w:rPr>
      </w:pPr>
      <w:bookmarkStart w:id="14" w:name="_Toc85035218"/>
      <w:bookmarkStart w:id="15" w:name="_Toc4404"/>
      <w:r>
        <w:rPr>
          <w:rFonts w:ascii="黑体" w:hAnsi="黑体" w:eastAsia="黑体" w:cs="Times New Roman"/>
          <w:sz w:val="28"/>
          <w:szCs w:val="28"/>
        </w:rPr>
        <w:t>八、</w:t>
      </w:r>
      <w:r>
        <w:rPr>
          <w:rFonts w:hint="eastAsia" w:ascii="黑体" w:hAnsi="黑体" w:eastAsia="黑体" w:cs="Times New Roman"/>
          <w:sz w:val="28"/>
          <w:szCs w:val="28"/>
        </w:rPr>
        <w:t>涉及专利的有关说明</w:t>
      </w:r>
      <w:bookmarkEnd w:id="14"/>
      <w:bookmarkEnd w:id="15"/>
    </w:p>
    <w:p>
      <w:pPr>
        <w:snapToGrid w:val="0"/>
        <w:spacing w:line="360" w:lineRule="auto"/>
        <w:ind w:firstLine="560" w:firstLineChars="200"/>
        <w:rPr>
          <w:rFonts w:ascii="Times New Roman" w:hAnsi="Times New Roman" w:cs="Times New Roman"/>
          <w:sz w:val="28"/>
          <w:szCs w:val="28"/>
        </w:rPr>
      </w:pPr>
      <w:bookmarkStart w:id="16" w:name="_Toc85035219"/>
      <w:r>
        <w:rPr>
          <w:rFonts w:hint="eastAsia" w:ascii="Times New Roman" w:hAnsi="Times New Roman" w:cs="Times New Roman"/>
          <w:sz w:val="28"/>
          <w:szCs w:val="28"/>
        </w:rPr>
        <w:t>本标准不涉及相关专利。</w:t>
      </w:r>
    </w:p>
    <w:p>
      <w:pPr>
        <w:pStyle w:val="2"/>
        <w:snapToGrid w:val="0"/>
        <w:spacing w:before="0" w:after="0" w:line="360" w:lineRule="auto"/>
        <w:ind w:firstLine="562" w:firstLineChars="200"/>
        <w:rPr>
          <w:rFonts w:ascii="黑体" w:hAnsi="黑体" w:eastAsia="黑体" w:cs="Times New Roman"/>
          <w:sz w:val="28"/>
          <w:szCs w:val="28"/>
        </w:rPr>
      </w:pPr>
      <w:bookmarkStart w:id="17" w:name="_Toc9602"/>
      <w:r>
        <w:rPr>
          <w:rFonts w:hint="eastAsia" w:ascii="黑体" w:hAnsi="黑体" w:eastAsia="黑体" w:cs="Times New Roman"/>
          <w:sz w:val="28"/>
          <w:szCs w:val="28"/>
        </w:rPr>
        <w:t>九、贯彻实施标准的建议</w:t>
      </w:r>
      <w:bookmarkEnd w:id="16"/>
      <w:bookmarkEnd w:id="17"/>
    </w:p>
    <w:p>
      <w:pPr>
        <w:snapToGrid w:val="0"/>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建议在实施标准过程中对所发现的问题应及时反馈，以利于标准的修订和完善。建议作为推荐性农业行业标准发布实施。</w:t>
      </w:r>
    </w:p>
    <w:p>
      <w:pPr>
        <w:pStyle w:val="2"/>
        <w:tabs>
          <w:tab w:val="left" w:pos="6438"/>
        </w:tabs>
        <w:snapToGrid w:val="0"/>
        <w:spacing w:before="0" w:after="0" w:line="360" w:lineRule="auto"/>
        <w:ind w:firstLine="562" w:firstLineChars="200"/>
        <w:rPr>
          <w:rFonts w:ascii="黑体" w:hAnsi="黑体" w:eastAsia="黑体" w:cs="Times New Roman"/>
          <w:sz w:val="28"/>
          <w:szCs w:val="28"/>
        </w:rPr>
      </w:pPr>
      <w:bookmarkStart w:id="18" w:name="_Toc17546"/>
      <w:bookmarkStart w:id="19" w:name="_Toc85035220"/>
      <w:r>
        <w:rPr>
          <w:rFonts w:hint="eastAsia" w:ascii="黑体" w:hAnsi="黑体" w:eastAsia="黑体" w:cs="Times New Roman"/>
          <w:sz w:val="28"/>
          <w:szCs w:val="28"/>
        </w:rPr>
        <w:t>十</w:t>
      </w:r>
      <w:r>
        <w:rPr>
          <w:rFonts w:ascii="黑体" w:hAnsi="黑体" w:eastAsia="黑体" w:cs="Times New Roman"/>
          <w:sz w:val="28"/>
          <w:szCs w:val="28"/>
        </w:rPr>
        <w:t>、</w:t>
      </w:r>
      <w:r>
        <w:rPr>
          <w:rFonts w:hint="eastAsia" w:ascii="黑体" w:hAnsi="黑体" w:eastAsia="黑体" w:cs="Times New Roman"/>
          <w:sz w:val="28"/>
          <w:szCs w:val="28"/>
        </w:rPr>
        <w:t>其他说明</w:t>
      </w:r>
      <w:bookmarkEnd w:id="18"/>
      <w:bookmarkEnd w:id="19"/>
      <w:r>
        <w:rPr>
          <w:rFonts w:hint="eastAsia" w:ascii="黑体" w:hAnsi="黑体" w:eastAsia="黑体" w:cs="Times New Roman"/>
          <w:sz w:val="28"/>
          <w:szCs w:val="28"/>
        </w:rPr>
        <w:tab/>
      </w:r>
    </w:p>
    <w:p>
      <w:pPr>
        <w:snapToGrid w:val="0"/>
        <w:spacing w:line="360" w:lineRule="auto"/>
        <w:ind w:firstLine="560" w:firstLineChars="200"/>
        <w:rPr>
          <w:rFonts w:ascii="宋体" w:hAnsi="宋体" w:eastAsia="宋体" w:cs="Times New Roman"/>
          <w:b/>
          <w:sz w:val="28"/>
          <w:szCs w:val="28"/>
        </w:rPr>
      </w:pPr>
      <w:r>
        <w:rPr>
          <w:rFonts w:hint="eastAsia" w:ascii="Times New Roman" w:hAnsi="Times New Roman" w:cs="Times New Roman"/>
          <w:sz w:val="28"/>
          <w:szCs w:val="28"/>
        </w:rPr>
        <w:t>本标准无其他需要说明的事项。</w:t>
      </w:r>
    </w:p>
    <w:sectPr>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0000019F" w:csb1="00000000"/>
  </w:font>
  <w:font w:name="TimesNewRomanPSMT">
    <w:altName w:val="DejaVu Sans"/>
    <w:panose1 w:val="00000000000000000000"/>
    <w:charset w:val="00"/>
    <w:family w:val="roman"/>
    <w:pitch w:val="default"/>
    <w:sig w:usb0="00000000" w:usb1="00000000" w:usb2="00000000" w:usb3="00000000" w:csb0="00000000" w:csb1="00000000"/>
  </w:font>
  <w:font w:name="华文中宋">
    <w:altName w:val="汉仪中宋简"/>
    <w:panose1 w:val="02010600040101010101"/>
    <w:charset w:val="86"/>
    <w:family w:val="auto"/>
    <w:pitch w:val="default"/>
    <w:sig w:usb0="00000000" w:usb1="00000000" w:usb2="00000010" w:usb3="00000000" w:csb0="0004009F" w:csb1="00000000"/>
  </w:font>
  <w:font w:name="方正仿宋简体">
    <w:altName w:val="方正仿宋_GBK"/>
    <w:panose1 w:val="00000000000000000000"/>
    <w:charset w:val="00"/>
    <w:family w:val="auto"/>
    <w:pitch w:val="default"/>
    <w:sig w:usb0="00000000" w:usb1="00000000" w:usb2="00000000" w:usb3="00000000" w:csb0="00000000"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泉驿正黑">
    <w:panose1 w:val="02000603000000000000"/>
    <w:charset w:val="86"/>
    <w:family w:val="auto"/>
    <w:pitch w:val="default"/>
    <w:sig w:usb0="900002BF" w:usb1="2BDF7DFB" w:usb2="00000036" w:usb3="00000000" w:csb0="603E000D" w:csb1="D2D70000"/>
  </w:font>
  <w:font w:name="汉仪中宋简">
    <w:panose1 w:val="02010600000101010101"/>
    <w:charset w:val="86"/>
    <w:family w:val="auto"/>
    <w:pitch w:val="default"/>
    <w:sig w:usb0="00000001" w:usb1="080E0800" w:usb2="00000002"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8306"/>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4" name="Text Box 1"/>
              <wp:cNvGraphicFramePr/>
              <a:graphic xmlns:a="http://schemas.openxmlformats.org/drawingml/2006/main">
                <a:graphicData uri="http://schemas.microsoft.com/office/word/2010/wordprocessingShape">
                  <wps:wsp>
                    <wps:cNvSpPr txBox="true">
                      <a:spLocks noChangeArrowheads="true"/>
                    </wps:cNvSpPr>
                    <wps:spPr bwMode="auto">
                      <a:xfrm>
                        <a:off x="0" y="0"/>
                        <a:ext cx="58420" cy="139700"/>
                      </a:xfrm>
                      <a:prstGeom prst="rect">
                        <a:avLst/>
                      </a:prstGeom>
                      <a:noFill/>
                      <a:ln>
                        <a:noFill/>
                      </a:ln>
                      <a:effectLst/>
                    </wps:spPr>
                    <wps:txbx>
                      <w:txbxContent>
                        <w:p>
                          <w:pPr>
                            <w:pStyle w:val="7"/>
                          </w:pPr>
                          <w:r>
                            <w:fldChar w:fldCharType="begin"/>
                          </w:r>
                          <w:r>
                            <w:instrText xml:space="preserve"> PAGE  \* MERGEFORMAT </w:instrText>
                          </w:r>
                          <w:r>
                            <w:fldChar w:fldCharType="separate"/>
                          </w:r>
                          <w:r>
                            <w:t>19</w:t>
                          </w:r>
                          <w:r>
                            <w:fldChar w:fldCharType="end"/>
                          </w:r>
                        </w:p>
                      </w:txbxContent>
                    </wps:txbx>
                    <wps:bodyPr rot="0" vert="horz" wrap="none" lIns="0" tIns="0" rIns="0" bIns="0" anchor="t" anchorCtr="false" upright="true">
                      <a:spAutoFit/>
                    </wps:bodyPr>
                  </wps:wsp>
                </a:graphicData>
              </a:graphic>
            </wp:anchor>
          </w:drawing>
        </mc:Choice>
        <mc:Fallback>
          <w:pict>
            <v:shape id="Text Box 1"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DLW7l30AAAAAIBAAAPAAAAAAAAAAEAIAAAADgAAABkcnMvZG93bnJldi54bWxQ&#10;SwECFAAUAAAACACHTuJAhMlOlOkBAADNAwAADgAAAAAAAAABACAAAAA1AQAAZHJzL2Uyb0RvYy54&#10;bWxQSwUGAAAAAAYABgBZAQAAkAU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51594473"/>
    </w:sdtPr>
    <w:sdtContent>
      <w:p>
        <w:pPr>
          <w:pStyle w:val="7"/>
          <w:jc w:val="center"/>
        </w:pPr>
        <w:r>
          <w:fldChar w:fldCharType="begin"/>
        </w:r>
        <w:r>
          <w:instrText xml:space="preserve">PAGE   \* MERGEFORMAT</w:instrText>
        </w:r>
        <w:r>
          <w:fldChar w:fldCharType="separate"/>
        </w:r>
        <w:r>
          <w:rPr>
            <w:lang w:val="zh-CN"/>
          </w:rPr>
          <w:t>I</w:t>
        </w:r>
        <w:r>
          <w:rPr>
            <w:lang w:val="zh-CN"/>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8306"/>
      </w:tabs>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6" name="文本框 6"/>
              <wp:cNvGraphicFramePr/>
              <a:graphic xmlns:a="http://schemas.openxmlformats.org/drawingml/2006/main">
                <a:graphicData uri="http://schemas.microsoft.com/office/word/2010/wordprocessingShape">
                  <wps:wsp>
                    <wps:cNvSpPr txBox="true">
                      <a:spLocks noChangeArrowheads="true"/>
                    </wps:cNvSpPr>
                    <wps:spPr bwMode="auto">
                      <a:xfrm>
                        <a:off x="0" y="0"/>
                        <a:ext cx="58420" cy="139700"/>
                      </a:xfrm>
                      <a:prstGeom prst="rect">
                        <a:avLst/>
                      </a:prstGeom>
                      <a:noFill/>
                      <a:ln>
                        <a:noFill/>
                      </a:ln>
                      <a:effectLst/>
                    </wps:spPr>
                    <wps:txbx>
                      <w:txbxContent>
                        <w:p>
                          <w:pPr>
                            <w:pStyle w:val="7"/>
                          </w:pPr>
                          <w:r>
                            <w:fldChar w:fldCharType="begin"/>
                          </w:r>
                          <w:r>
                            <w:instrText xml:space="preserve"> PAGE  \* MERGEFORMAT </w:instrText>
                          </w:r>
                          <w:r>
                            <w:fldChar w:fldCharType="separate"/>
                          </w:r>
                          <w:r>
                            <w:t>19</w:t>
                          </w:r>
                          <w:r>
                            <w:fldChar w:fldCharType="end"/>
                          </w:r>
                        </w:p>
                      </w:txbxContent>
                    </wps:txbx>
                    <wps:bodyPr rot="0"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FgAAAGRycy9QSwECFAAUAAAACACHTuJAy1u5d9AAAAACAQAADwAAAAAAAAABACAAAAA4AAAA&#10;ZHJzL2Rvd25yZXYueG1sUEsBAhQAFAAAAAgAh07iQM6LYKn5AQAAzgMAAA4AAAAAAAAAAQAgAAAA&#10;NQEAAGRycy9lMm9Eb2MueG1sUEsFBgAAAAAGAAYAWQEAAKAFA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AB14BE"/>
    <w:multiLevelType w:val="singleLevel"/>
    <w:tmpl w:val="89AB14BE"/>
    <w:lvl w:ilvl="0" w:tentative="0">
      <w:start w:val="1"/>
      <w:numFmt w:val="decimal"/>
      <w:suff w:val="nothing"/>
      <w:lvlText w:val="（%1）"/>
      <w:lvlJc w:val="left"/>
    </w:lvl>
  </w:abstractNum>
  <w:abstractNum w:abstractNumId="1">
    <w:nsid w:val="1FC91163"/>
    <w:multiLevelType w:val="multilevel"/>
    <w:tmpl w:val="1FC91163"/>
    <w:lvl w:ilvl="0" w:tentative="0">
      <w:start w:val="1"/>
      <w:numFmt w:val="decimal"/>
      <w:pStyle w:val="26"/>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5"/>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27"/>
      <w:suff w:val="nothing"/>
      <w:lvlText w:val="%1.%2.%3　"/>
      <w:lvlJc w:val="left"/>
      <w:pPr>
        <w:ind w:left="0" w:firstLine="0"/>
      </w:pPr>
      <w:rPr>
        <w:rFonts w:hint="eastAsia" w:ascii="黑体" w:hAnsi="Times New Roman" w:eastAsia="黑体"/>
        <w:b w:val="0"/>
        <w:i w:val="0"/>
        <w:sz w:val="21"/>
      </w:rPr>
    </w:lvl>
    <w:lvl w:ilvl="3" w:tentative="0">
      <w:start w:val="1"/>
      <w:numFmt w:val="decimal"/>
      <w:pStyle w:val="28"/>
      <w:suff w:val="nothing"/>
      <w:lvlText w:val="%1.%2.%3.%4　"/>
      <w:lvlJc w:val="left"/>
      <w:pPr>
        <w:ind w:left="0" w:firstLine="0"/>
      </w:pPr>
      <w:rPr>
        <w:rFonts w:hint="eastAsia" w:ascii="黑体" w:hAnsi="Times New Roman" w:eastAsia="黑体"/>
        <w:b w:val="0"/>
        <w:i w:val="0"/>
        <w:sz w:val="21"/>
      </w:rPr>
    </w:lvl>
    <w:lvl w:ilvl="4" w:tentative="0">
      <w:start w:val="1"/>
      <w:numFmt w:val="decimal"/>
      <w:pStyle w:val="29"/>
      <w:suff w:val="nothing"/>
      <w:lvlText w:val="%1.%2.%3.%4.%5　"/>
      <w:lvlJc w:val="left"/>
      <w:pPr>
        <w:ind w:left="0" w:firstLine="0"/>
      </w:pPr>
      <w:rPr>
        <w:rFonts w:hint="eastAsia" w:ascii="黑体" w:hAnsi="Times New Roman" w:eastAsia="黑体"/>
        <w:b w:val="0"/>
        <w:i w:val="0"/>
        <w:sz w:val="21"/>
      </w:rPr>
    </w:lvl>
    <w:lvl w:ilvl="5" w:tentative="0">
      <w:start w:val="1"/>
      <w:numFmt w:val="decimal"/>
      <w:pStyle w:val="30"/>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5496676A"/>
    <w:multiLevelType w:val="singleLevel"/>
    <w:tmpl w:val="5496676A"/>
    <w:lvl w:ilvl="0" w:tentative="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true"/>
  <w:bordersDoNotSurroundHeader w:val="true"/>
  <w:bordersDoNotSurroundFooter w:val="true"/>
  <w:documentProtection w:enforcement="0"/>
  <w:defaultTabStop w:val="420"/>
  <w:drawingGridHorizontalSpacing w:val="105"/>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Y1MzcyNDljOThjNjQxMDZlMTliNTUwMTA4NDcxYTkifQ=="/>
  </w:docVars>
  <w:rsids>
    <w:rsidRoot w:val="00F50DD8"/>
    <w:rsid w:val="000128E1"/>
    <w:rsid w:val="000139B2"/>
    <w:rsid w:val="00017A00"/>
    <w:rsid w:val="00020394"/>
    <w:rsid w:val="00030742"/>
    <w:rsid w:val="00031CC4"/>
    <w:rsid w:val="00042F27"/>
    <w:rsid w:val="000432E4"/>
    <w:rsid w:val="000465F8"/>
    <w:rsid w:val="000510AB"/>
    <w:rsid w:val="00066A85"/>
    <w:rsid w:val="000673DD"/>
    <w:rsid w:val="000755E3"/>
    <w:rsid w:val="000778D1"/>
    <w:rsid w:val="00080E74"/>
    <w:rsid w:val="00093D12"/>
    <w:rsid w:val="000A2A89"/>
    <w:rsid w:val="000B0DB7"/>
    <w:rsid w:val="000B3291"/>
    <w:rsid w:val="000B4A3C"/>
    <w:rsid w:val="000C37C0"/>
    <w:rsid w:val="000F1601"/>
    <w:rsid w:val="000F3D5F"/>
    <w:rsid w:val="000F6FE6"/>
    <w:rsid w:val="00100581"/>
    <w:rsid w:val="001047A2"/>
    <w:rsid w:val="00107200"/>
    <w:rsid w:val="001300DB"/>
    <w:rsid w:val="00133961"/>
    <w:rsid w:val="00133E9C"/>
    <w:rsid w:val="00144343"/>
    <w:rsid w:val="00171E24"/>
    <w:rsid w:val="0018003D"/>
    <w:rsid w:val="0018177F"/>
    <w:rsid w:val="001A0F60"/>
    <w:rsid w:val="001A1188"/>
    <w:rsid w:val="001A6D58"/>
    <w:rsid w:val="001B17F3"/>
    <w:rsid w:val="001B1980"/>
    <w:rsid w:val="001C57A0"/>
    <w:rsid w:val="001C5A8E"/>
    <w:rsid w:val="001D3ECF"/>
    <w:rsid w:val="001D4261"/>
    <w:rsid w:val="001D43D5"/>
    <w:rsid w:val="001E2F43"/>
    <w:rsid w:val="001E389D"/>
    <w:rsid w:val="001E68C9"/>
    <w:rsid w:val="001E70BF"/>
    <w:rsid w:val="0020201C"/>
    <w:rsid w:val="00212F92"/>
    <w:rsid w:val="00215D23"/>
    <w:rsid w:val="00230028"/>
    <w:rsid w:val="0023140D"/>
    <w:rsid w:val="00234B34"/>
    <w:rsid w:val="00235953"/>
    <w:rsid w:val="00242E4A"/>
    <w:rsid w:val="0024443B"/>
    <w:rsid w:val="00254014"/>
    <w:rsid w:val="00290E80"/>
    <w:rsid w:val="002B1C86"/>
    <w:rsid w:val="002B3964"/>
    <w:rsid w:val="002C5980"/>
    <w:rsid w:val="002D7BA4"/>
    <w:rsid w:val="002E0122"/>
    <w:rsid w:val="002E324A"/>
    <w:rsid w:val="002F5C40"/>
    <w:rsid w:val="003028D8"/>
    <w:rsid w:val="003147FA"/>
    <w:rsid w:val="00317CE3"/>
    <w:rsid w:val="003267B5"/>
    <w:rsid w:val="003367B7"/>
    <w:rsid w:val="00342648"/>
    <w:rsid w:val="00351E43"/>
    <w:rsid w:val="0035562D"/>
    <w:rsid w:val="00357337"/>
    <w:rsid w:val="00363559"/>
    <w:rsid w:val="003725EB"/>
    <w:rsid w:val="003737CA"/>
    <w:rsid w:val="00381130"/>
    <w:rsid w:val="00382BBE"/>
    <w:rsid w:val="00385BB5"/>
    <w:rsid w:val="00394B30"/>
    <w:rsid w:val="003A3EBC"/>
    <w:rsid w:val="003A5EBD"/>
    <w:rsid w:val="003A72CB"/>
    <w:rsid w:val="003C7B99"/>
    <w:rsid w:val="003D2BB6"/>
    <w:rsid w:val="003F53B6"/>
    <w:rsid w:val="003F5449"/>
    <w:rsid w:val="00401CB8"/>
    <w:rsid w:val="00404D22"/>
    <w:rsid w:val="0041085C"/>
    <w:rsid w:val="004132AB"/>
    <w:rsid w:val="00437D3C"/>
    <w:rsid w:val="00460B52"/>
    <w:rsid w:val="00487F90"/>
    <w:rsid w:val="00491BE9"/>
    <w:rsid w:val="004B0F6B"/>
    <w:rsid w:val="004B4F40"/>
    <w:rsid w:val="004C0313"/>
    <w:rsid w:val="004D188A"/>
    <w:rsid w:val="0050546E"/>
    <w:rsid w:val="005057C5"/>
    <w:rsid w:val="00510A61"/>
    <w:rsid w:val="00511F01"/>
    <w:rsid w:val="0052609A"/>
    <w:rsid w:val="00526705"/>
    <w:rsid w:val="00540A86"/>
    <w:rsid w:val="005611DF"/>
    <w:rsid w:val="00573DD9"/>
    <w:rsid w:val="00583346"/>
    <w:rsid w:val="00585F86"/>
    <w:rsid w:val="005A0A19"/>
    <w:rsid w:val="005A1E89"/>
    <w:rsid w:val="005B3A99"/>
    <w:rsid w:val="005B4AD0"/>
    <w:rsid w:val="005C7549"/>
    <w:rsid w:val="005D54CC"/>
    <w:rsid w:val="005E072F"/>
    <w:rsid w:val="005F249A"/>
    <w:rsid w:val="005F4D9F"/>
    <w:rsid w:val="00603BF9"/>
    <w:rsid w:val="006042C2"/>
    <w:rsid w:val="006131CC"/>
    <w:rsid w:val="00625742"/>
    <w:rsid w:val="00626843"/>
    <w:rsid w:val="00647EA8"/>
    <w:rsid w:val="00665322"/>
    <w:rsid w:val="006740F6"/>
    <w:rsid w:val="00683509"/>
    <w:rsid w:val="0068688C"/>
    <w:rsid w:val="00692D64"/>
    <w:rsid w:val="0069306C"/>
    <w:rsid w:val="00693901"/>
    <w:rsid w:val="006A20E6"/>
    <w:rsid w:val="006A3BE4"/>
    <w:rsid w:val="006B3365"/>
    <w:rsid w:val="006D12B9"/>
    <w:rsid w:val="006D1EED"/>
    <w:rsid w:val="006D5D09"/>
    <w:rsid w:val="00701178"/>
    <w:rsid w:val="0070118C"/>
    <w:rsid w:val="0070244A"/>
    <w:rsid w:val="00705EC3"/>
    <w:rsid w:val="00707E6C"/>
    <w:rsid w:val="00711004"/>
    <w:rsid w:val="00714500"/>
    <w:rsid w:val="00720928"/>
    <w:rsid w:val="00735087"/>
    <w:rsid w:val="00737475"/>
    <w:rsid w:val="0075033A"/>
    <w:rsid w:val="00753142"/>
    <w:rsid w:val="007604CF"/>
    <w:rsid w:val="00785C7B"/>
    <w:rsid w:val="00795B16"/>
    <w:rsid w:val="007A0A0D"/>
    <w:rsid w:val="007A238F"/>
    <w:rsid w:val="007B239D"/>
    <w:rsid w:val="007C2D4C"/>
    <w:rsid w:val="007D2046"/>
    <w:rsid w:val="007D3765"/>
    <w:rsid w:val="007E3560"/>
    <w:rsid w:val="0080452E"/>
    <w:rsid w:val="008052B6"/>
    <w:rsid w:val="00813CF6"/>
    <w:rsid w:val="008152E4"/>
    <w:rsid w:val="0083213C"/>
    <w:rsid w:val="00832EF6"/>
    <w:rsid w:val="00853A0A"/>
    <w:rsid w:val="008569FA"/>
    <w:rsid w:val="008613E5"/>
    <w:rsid w:val="008658FD"/>
    <w:rsid w:val="00872AE7"/>
    <w:rsid w:val="0087513A"/>
    <w:rsid w:val="00881585"/>
    <w:rsid w:val="00884DD1"/>
    <w:rsid w:val="008A44CB"/>
    <w:rsid w:val="008A52D4"/>
    <w:rsid w:val="008C016C"/>
    <w:rsid w:val="008C4BC0"/>
    <w:rsid w:val="008C554B"/>
    <w:rsid w:val="008C584D"/>
    <w:rsid w:val="008C5CDD"/>
    <w:rsid w:val="008C71D5"/>
    <w:rsid w:val="008D56B3"/>
    <w:rsid w:val="008E2EAE"/>
    <w:rsid w:val="008F6AA5"/>
    <w:rsid w:val="00900022"/>
    <w:rsid w:val="009017FC"/>
    <w:rsid w:val="00901898"/>
    <w:rsid w:val="009041A8"/>
    <w:rsid w:val="00913338"/>
    <w:rsid w:val="00931641"/>
    <w:rsid w:val="0093383C"/>
    <w:rsid w:val="00944FF1"/>
    <w:rsid w:val="009466AD"/>
    <w:rsid w:val="009466DA"/>
    <w:rsid w:val="0095364B"/>
    <w:rsid w:val="00963D83"/>
    <w:rsid w:val="00967459"/>
    <w:rsid w:val="009874F6"/>
    <w:rsid w:val="00996967"/>
    <w:rsid w:val="009A1FFC"/>
    <w:rsid w:val="009A5155"/>
    <w:rsid w:val="009C041E"/>
    <w:rsid w:val="009D05A1"/>
    <w:rsid w:val="009D63B3"/>
    <w:rsid w:val="009D77DB"/>
    <w:rsid w:val="009F2B36"/>
    <w:rsid w:val="009F36BC"/>
    <w:rsid w:val="00A06716"/>
    <w:rsid w:val="00A25FED"/>
    <w:rsid w:val="00A276B5"/>
    <w:rsid w:val="00A44ABA"/>
    <w:rsid w:val="00A506D6"/>
    <w:rsid w:val="00A57F60"/>
    <w:rsid w:val="00A6297E"/>
    <w:rsid w:val="00A71FE2"/>
    <w:rsid w:val="00A74C89"/>
    <w:rsid w:val="00AB4203"/>
    <w:rsid w:val="00AB4CDE"/>
    <w:rsid w:val="00AB7552"/>
    <w:rsid w:val="00AC23AB"/>
    <w:rsid w:val="00AD2061"/>
    <w:rsid w:val="00AE5BB9"/>
    <w:rsid w:val="00B05BA8"/>
    <w:rsid w:val="00B31AB1"/>
    <w:rsid w:val="00B33B59"/>
    <w:rsid w:val="00B35058"/>
    <w:rsid w:val="00B35BC7"/>
    <w:rsid w:val="00B37E2C"/>
    <w:rsid w:val="00B418B7"/>
    <w:rsid w:val="00B44A46"/>
    <w:rsid w:val="00B45BCD"/>
    <w:rsid w:val="00B51DDC"/>
    <w:rsid w:val="00B57F62"/>
    <w:rsid w:val="00B61722"/>
    <w:rsid w:val="00B63229"/>
    <w:rsid w:val="00B7240E"/>
    <w:rsid w:val="00B8475C"/>
    <w:rsid w:val="00B84B3A"/>
    <w:rsid w:val="00B91FBE"/>
    <w:rsid w:val="00BA0247"/>
    <w:rsid w:val="00BA1634"/>
    <w:rsid w:val="00BC108F"/>
    <w:rsid w:val="00BC7D01"/>
    <w:rsid w:val="00BD6F60"/>
    <w:rsid w:val="00BE6CF2"/>
    <w:rsid w:val="00C03515"/>
    <w:rsid w:val="00C03A44"/>
    <w:rsid w:val="00C03B90"/>
    <w:rsid w:val="00C05975"/>
    <w:rsid w:val="00C1187D"/>
    <w:rsid w:val="00C21816"/>
    <w:rsid w:val="00C23E6D"/>
    <w:rsid w:val="00C26D3C"/>
    <w:rsid w:val="00C35358"/>
    <w:rsid w:val="00C46C75"/>
    <w:rsid w:val="00C479ED"/>
    <w:rsid w:val="00C52112"/>
    <w:rsid w:val="00C637C8"/>
    <w:rsid w:val="00C645A7"/>
    <w:rsid w:val="00C66B86"/>
    <w:rsid w:val="00C7047A"/>
    <w:rsid w:val="00C844DB"/>
    <w:rsid w:val="00C86C25"/>
    <w:rsid w:val="00C93C7B"/>
    <w:rsid w:val="00C96392"/>
    <w:rsid w:val="00CB1001"/>
    <w:rsid w:val="00CB259F"/>
    <w:rsid w:val="00CB36CB"/>
    <w:rsid w:val="00CB4E41"/>
    <w:rsid w:val="00CB779A"/>
    <w:rsid w:val="00CC0755"/>
    <w:rsid w:val="00CD0013"/>
    <w:rsid w:val="00CF0E98"/>
    <w:rsid w:val="00CF68F7"/>
    <w:rsid w:val="00CF7C04"/>
    <w:rsid w:val="00D13C62"/>
    <w:rsid w:val="00D209A4"/>
    <w:rsid w:val="00D238E2"/>
    <w:rsid w:val="00D31608"/>
    <w:rsid w:val="00D3229A"/>
    <w:rsid w:val="00D3565C"/>
    <w:rsid w:val="00D45368"/>
    <w:rsid w:val="00D6009C"/>
    <w:rsid w:val="00D83917"/>
    <w:rsid w:val="00D84DE4"/>
    <w:rsid w:val="00D864F2"/>
    <w:rsid w:val="00D872DA"/>
    <w:rsid w:val="00D949FF"/>
    <w:rsid w:val="00D96877"/>
    <w:rsid w:val="00DB41A5"/>
    <w:rsid w:val="00DB57AF"/>
    <w:rsid w:val="00DC1FC8"/>
    <w:rsid w:val="00DC2C29"/>
    <w:rsid w:val="00DC67A1"/>
    <w:rsid w:val="00DC697A"/>
    <w:rsid w:val="00DD0194"/>
    <w:rsid w:val="00DD19D5"/>
    <w:rsid w:val="00DD5F5B"/>
    <w:rsid w:val="00DE321C"/>
    <w:rsid w:val="00DF0C57"/>
    <w:rsid w:val="00DF1790"/>
    <w:rsid w:val="00DF6D2D"/>
    <w:rsid w:val="00DF783F"/>
    <w:rsid w:val="00E02629"/>
    <w:rsid w:val="00E11E2C"/>
    <w:rsid w:val="00E14094"/>
    <w:rsid w:val="00E300DB"/>
    <w:rsid w:val="00E42817"/>
    <w:rsid w:val="00E53878"/>
    <w:rsid w:val="00E619CE"/>
    <w:rsid w:val="00E637AA"/>
    <w:rsid w:val="00E73194"/>
    <w:rsid w:val="00E77D61"/>
    <w:rsid w:val="00E92D7F"/>
    <w:rsid w:val="00EA4492"/>
    <w:rsid w:val="00EE12AB"/>
    <w:rsid w:val="00EF1A76"/>
    <w:rsid w:val="00EF1EE7"/>
    <w:rsid w:val="00F055F6"/>
    <w:rsid w:val="00F05DB6"/>
    <w:rsid w:val="00F160F1"/>
    <w:rsid w:val="00F16C39"/>
    <w:rsid w:val="00F22D87"/>
    <w:rsid w:val="00F30670"/>
    <w:rsid w:val="00F31832"/>
    <w:rsid w:val="00F4268A"/>
    <w:rsid w:val="00F47678"/>
    <w:rsid w:val="00F50DD8"/>
    <w:rsid w:val="00F75E51"/>
    <w:rsid w:val="00F76E5E"/>
    <w:rsid w:val="00F8372F"/>
    <w:rsid w:val="00F9088D"/>
    <w:rsid w:val="00F92B57"/>
    <w:rsid w:val="00F93C05"/>
    <w:rsid w:val="00FA69BC"/>
    <w:rsid w:val="00FA753F"/>
    <w:rsid w:val="00FB495B"/>
    <w:rsid w:val="00FB4C4E"/>
    <w:rsid w:val="00FC4BA1"/>
    <w:rsid w:val="00FC6C5B"/>
    <w:rsid w:val="00FC7D9C"/>
    <w:rsid w:val="00FD06A9"/>
    <w:rsid w:val="00FD7CD7"/>
    <w:rsid w:val="00FE6382"/>
    <w:rsid w:val="00FE7595"/>
    <w:rsid w:val="00FF1298"/>
    <w:rsid w:val="00FF3D28"/>
    <w:rsid w:val="00FF45B6"/>
    <w:rsid w:val="00FF6960"/>
    <w:rsid w:val="00FF7BE4"/>
    <w:rsid w:val="02350AAE"/>
    <w:rsid w:val="032325B2"/>
    <w:rsid w:val="03A23DA2"/>
    <w:rsid w:val="03D62B67"/>
    <w:rsid w:val="03FC0FD7"/>
    <w:rsid w:val="04FB4841"/>
    <w:rsid w:val="056C1D8D"/>
    <w:rsid w:val="064A47E3"/>
    <w:rsid w:val="06944CEE"/>
    <w:rsid w:val="077C47D2"/>
    <w:rsid w:val="08C34FFA"/>
    <w:rsid w:val="098F5A96"/>
    <w:rsid w:val="09AD1E95"/>
    <w:rsid w:val="09B66F46"/>
    <w:rsid w:val="09C636EA"/>
    <w:rsid w:val="0A4159F2"/>
    <w:rsid w:val="0A5F395E"/>
    <w:rsid w:val="0B2C7222"/>
    <w:rsid w:val="0BBA1112"/>
    <w:rsid w:val="0C7C250A"/>
    <w:rsid w:val="0CCB5BAD"/>
    <w:rsid w:val="0D18022F"/>
    <w:rsid w:val="0E2B6B39"/>
    <w:rsid w:val="0E7101FB"/>
    <w:rsid w:val="0F173343"/>
    <w:rsid w:val="0F462BE0"/>
    <w:rsid w:val="0F60034C"/>
    <w:rsid w:val="10110504"/>
    <w:rsid w:val="106F5BC5"/>
    <w:rsid w:val="11D76DEA"/>
    <w:rsid w:val="12A439BB"/>
    <w:rsid w:val="1300548B"/>
    <w:rsid w:val="138F083A"/>
    <w:rsid w:val="13CC321D"/>
    <w:rsid w:val="15B07609"/>
    <w:rsid w:val="1666420B"/>
    <w:rsid w:val="17907F1A"/>
    <w:rsid w:val="17AE7834"/>
    <w:rsid w:val="18300159"/>
    <w:rsid w:val="19883BDE"/>
    <w:rsid w:val="1A8E2800"/>
    <w:rsid w:val="1B0A4E48"/>
    <w:rsid w:val="1B1C1936"/>
    <w:rsid w:val="1B7C7FF4"/>
    <w:rsid w:val="1C1F15B0"/>
    <w:rsid w:val="1C300323"/>
    <w:rsid w:val="1C356EBF"/>
    <w:rsid w:val="1C6F2C46"/>
    <w:rsid w:val="1C8E2E19"/>
    <w:rsid w:val="1D57420D"/>
    <w:rsid w:val="1D861A70"/>
    <w:rsid w:val="1E3037B5"/>
    <w:rsid w:val="1E68607D"/>
    <w:rsid w:val="1F4671ED"/>
    <w:rsid w:val="1F5A5B51"/>
    <w:rsid w:val="1F9850FD"/>
    <w:rsid w:val="203C1AB1"/>
    <w:rsid w:val="206D4540"/>
    <w:rsid w:val="20981ECA"/>
    <w:rsid w:val="20BD748D"/>
    <w:rsid w:val="213818A9"/>
    <w:rsid w:val="21715713"/>
    <w:rsid w:val="228B3959"/>
    <w:rsid w:val="23611FC0"/>
    <w:rsid w:val="23771C09"/>
    <w:rsid w:val="23810E09"/>
    <w:rsid w:val="23D61219"/>
    <w:rsid w:val="24C77752"/>
    <w:rsid w:val="254A1256"/>
    <w:rsid w:val="269826CF"/>
    <w:rsid w:val="28512F70"/>
    <w:rsid w:val="29245460"/>
    <w:rsid w:val="296F6BD6"/>
    <w:rsid w:val="29CF066F"/>
    <w:rsid w:val="2B6853F4"/>
    <w:rsid w:val="2C401E42"/>
    <w:rsid w:val="2C763182"/>
    <w:rsid w:val="2CCF1A19"/>
    <w:rsid w:val="2D690014"/>
    <w:rsid w:val="2D7F0555"/>
    <w:rsid w:val="2E153FB5"/>
    <w:rsid w:val="2F1625B7"/>
    <w:rsid w:val="2F241650"/>
    <w:rsid w:val="2F5B3257"/>
    <w:rsid w:val="2FF23FD6"/>
    <w:rsid w:val="30A64C1D"/>
    <w:rsid w:val="30EB5869"/>
    <w:rsid w:val="31146433"/>
    <w:rsid w:val="321C2BD2"/>
    <w:rsid w:val="337C30D3"/>
    <w:rsid w:val="338C2B50"/>
    <w:rsid w:val="33BB2C44"/>
    <w:rsid w:val="33F02D38"/>
    <w:rsid w:val="34040C11"/>
    <w:rsid w:val="34593C01"/>
    <w:rsid w:val="35316EFA"/>
    <w:rsid w:val="35DE2B48"/>
    <w:rsid w:val="365F78BB"/>
    <w:rsid w:val="3745621B"/>
    <w:rsid w:val="37500665"/>
    <w:rsid w:val="38300062"/>
    <w:rsid w:val="38CF3644"/>
    <w:rsid w:val="38D33A57"/>
    <w:rsid w:val="38F00F55"/>
    <w:rsid w:val="39281AB0"/>
    <w:rsid w:val="393831B4"/>
    <w:rsid w:val="39A12659"/>
    <w:rsid w:val="39C02639"/>
    <w:rsid w:val="39C3314D"/>
    <w:rsid w:val="39F21AEE"/>
    <w:rsid w:val="3B632976"/>
    <w:rsid w:val="3B960554"/>
    <w:rsid w:val="3C3349F0"/>
    <w:rsid w:val="3DF84BD9"/>
    <w:rsid w:val="3E5A0A97"/>
    <w:rsid w:val="3FC962FB"/>
    <w:rsid w:val="408836C4"/>
    <w:rsid w:val="412A3AB2"/>
    <w:rsid w:val="41344485"/>
    <w:rsid w:val="42267A79"/>
    <w:rsid w:val="42B82BCD"/>
    <w:rsid w:val="43645460"/>
    <w:rsid w:val="43C74E2D"/>
    <w:rsid w:val="43C80D64"/>
    <w:rsid w:val="45116409"/>
    <w:rsid w:val="45E91FBD"/>
    <w:rsid w:val="46116E9C"/>
    <w:rsid w:val="461E52CF"/>
    <w:rsid w:val="469F40CF"/>
    <w:rsid w:val="46FB789F"/>
    <w:rsid w:val="474A0457"/>
    <w:rsid w:val="478A594C"/>
    <w:rsid w:val="47AC604D"/>
    <w:rsid w:val="47BB04D0"/>
    <w:rsid w:val="47E45733"/>
    <w:rsid w:val="48C018EA"/>
    <w:rsid w:val="495E4A65"/>
    <w:rsid w:val="49680F5F"/>
    <w:rsid w:val="497662DC"/>
    <w:rsid w:val="49CB3958"/>
    <w:rsid w:val="4A1F75EE"/>
    <w:rsid w:val="4A413C88"/>
    <w:rsid w:val="4B577AA5"/>
    <w:rsid w:val="4D8D7236"/>
    <w:rsid w:val="4E2C4919"/>
    <w:rsid w:val="4E751CB4"/>
    <w:rsid w:val="4FFC1F33"/>
    <w:rsid w:val="51765E0C"/>
    <w:rsid w:val="517A085C"/>
    <w:rsid w:val="5262025F"/>
    <w:rsid w:val="5283074C"/>
    <w:rsid w:val="534E0B31"/>
    <w:rsid w:val="54DC3E28"/>
    <w:rsid w:val="557B20A3"/>
    <w:rsid w:val="56BE0A27"/>
    <w:rsid w:val="56EC6F61"/>
    <w:rsid w:val="57003923"/>
    <w:rsid w:val="57D15C83"/>
    <w:rsid w:val="57F250CF"/>
    <w:rsid w:val="580811A7"/>
    <w:rsid w:val="58C9147A"/>
    <w:rsid w:val="58D534F3"/>
    <w:rsid w:val="596C553A"/>
    <w:rsid w:val="59975EDC"/>
    <w:rsid w:val="599B101E"/>
    <w:rsid w:val="5B18539A"/>
    <w:rsid w:val="5BA72759"/>
    <w:rsid w:val="5D552683"/>
    <w:rsid w:val="5EF331A5"/>
    <w:rsid w:val="5F8224B9"/>
    <w:rsid w:val="5FB67E51"/>
    <w:rsid w:val="5FE11742"/>
    <w:rsid w:val="601022CA"/>
    <w:rsid w:val="607338B8"/>
    <w:rsid w:val="608A0BA5"/>
    <w:rsid w:val="60B37021"/>
    <w:rsid w:val="6152641D"/>
    <w:rsid w:val="61BB0E4B"/>
    <w:rsid w:val="629F7A87"/>
    <w:rsid w:val="62A41D9A"/>
    <w:rsid w:val="632319DD"/>
    <w:rsid w:val="638C5C2C"/>
    <w:rsid w:val="63B7113B"/>
    <w:rsid w:val="63C208C9"/>
    <w:rsid w:val="64835583"/>
    <w:rsid w:val="64A475F4"/>
    <w:rsid w:val="65C003FB"/>
    <w:rsid w:val="665D3BC1"/>
    <w:rsid w:val="66A40B6D"/>
    <w:rsid w:val="67150FC1"/>
    <w:rsid w:val="6737502A"/>
    <w:rsid w:val="67760121"/>
    <w:rsid w:val="67A1697C"/>
    <w:rsid w:val="686F7E1F"/>
    <w:rsid w:val="69A630DB"/>
    <w:rsid w:val="69CE00EC"/>
    <w:rsid w:val="6A023891"/>
    <w:rsid w:val="6B2F0969"/>
    <w:rsid w:val="6B857E99"/>
    <w:rsid w:val="6B9D7CFE"/>
    <w:rsid w:val="6BC03963"/>
    <w:rsid w:val="6BC821FD"/>
    <w:rsid w:val="6C0F485D"/>
    <w:rsid w:val="6CDA1EDF"/>
    <w:rsid w:val="6E0C1925"/>
    <w:rsid w:val="6E583186"/>
    <w:rsid w:val="6ED72343"/>
    <w:rsid w:val="6ED9337C"/>
    <w:rsid w:val="6F8A0174"/>
    <w:rsid w:val="6FA67B66"/>
    <w:rsid w:val="6FC95F34"/>
    <w:rsid w:val="70227111"/>
    <w:rsid w:val="708914F1"/>
    <w:rsid w:val="71F24CBD"/>
    <w:rsid w:val="72506103"/>
    <w:rsid w:val="728A59B2"/>
    <w:rsid w:val="73201568"/>
    <w:rsid w:val="73DD7777"/>
    <w:rsid w:val="73E12F80"/>
    <w:rsid w:val="755E402F"/>
    <w:rsid w:val="75D81060"/>
    <w:rsid w:val="75F876B8"/>
    <w:rsid w:val="76330D0E"/>
    <w:rsid w:val="763723CF"/>
    <w:rsid w:val="76707888"/>
    <w:rsid w:val="76D24ABD"/>
    <w:rsid w:val="77862835"/>
    <w:rsid w:val="77F4408C"/>
    <w:rsid w:val="782E0311"/>
    <w:rsid w:val="784472FB"/>
    <w:rsid w:val="787E0AE7"/>
    <w:rsid w:val="78EE670A"/>
    <w:rsid w:val="7A0859DA"/>
    <w:rsid w:val="7A436A1D"/>
    <w:rsid w:val="7A950F6D"/>
    <w:rsid w:val="7ADC583D"/>
    <w:rsid w:val="7B1301CF"/>
    <w:rsid w:val="7BAD6046"/>
    <w:rsid w:val="7BC778DD"/>
    <w:rsid w:val="7CA71EB8"/>
    <w:rsid w:val="7CC824C5"/>
    <w:rsid w:val="7CEA1D0B"/>
    <w:rsid w:val="7D752620"/>
    <w:rsid w:val="7E5F1690"/>
    <w:rsid w:val="7E643E92"/>
    <w:rsid w:val="7F801A63"/>
    <w:rsid w:val="FADF41E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3"/>
    <w:basedOn w:val="1"/>
    <w:next w:val="1"/>
    <w:link w:val="32"/>
    <w:semiHidden/>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4"/>
    <w:semiHidden/>
    <w:unhideWhenUsed/>
    <w:qFormat/>
    <w:uiPriority w:val="99"/>
    <w:pPr>
      <w:jc w:val="left"/>
    </w:pPr>
  </w:style>
  <w:style w:type="paragraph" w:styleId="5">
    <w:name w:val="toc 3"/>
    <w:basedOn w:val="1"/>
    <w:next w:val="1"/>
    <w:semiHidden/>
    <w:unhideWhenUsed/>
    <w:qFormat/>
    <w:uiPriority w:val="39"/>
    <w:pPr>
      <w:widowControl/>
      <w:spacing w:after="100" w:line="276" w:lineRule="auto"/>
      <w:ind w:left="440"/>
      <w:jc w:val="left"/>
    </w:pPr>
    <w:rPr>
      <w:kern w:val="0"/>
      <w:sz w:val="22"/>
    </w:rPr>
  </w:style>
  <w:style w:type="paragraph" w:styleId="6">
    <w:name w:val="Balloon Text"/>
    <w:basedOn w:val="1"/>
    <w:link w:val="24"/>
    <w:semiHidden/>
    <w:unhideWhenUsed/>
    <w:qFormat/>
    <w:uiPriority w:val="99"/>
    <w:rPr>
      <w:sz w:val="18"/>
      <w:szCs w:val="18"/>
    </w:rPr>
  </w:style>
  <w:style w:type="paragraph" w:styleId="7">
    <w:name w:val="footer"/>
    <w:basedOn w:val="1"/>
    <w:link w:val="22"/>
    <w:unhideWhenUsed/>
    <w:qFormat/>
    <w:uiPriority w:val="99"/>
    <w:pPr>
      <w:tabs>
        <w:tab w:val="center" w:pos="4153"/>
        <w:tab w:val="right" w:pos="8306"/>
      </w:tabs>
      <w:snapToGrid w:val="0"/>
      <w:jc w:val="left"/>
    </w:pPr>
    <w:rPr>
      <w:sz w:val="18"/>
      <w:szCs w:val="18"/>
    </w:rPr>
  </w:style>
  <w:style w:type="paragraph" w:styleId="8">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toc 2"/>
    <w:basedOn w:val="1"/>
    <w:next w:val="1"/>
    <w:semiHidden/>
    <w:unhideWhenUsed/>
    <w:qFormat/>
    <w:uiPriority w:val="39"/>
    <w:pPr>
      <w:widowControl/>
      <w:spacing w:after="100" w:line="276" w:lineRule="auto"/>
      <w:ind w:left="220"/>
      <w:jc w:val="left"/>
    </w:pPr>
    <w:rPr>
      <w:kern w:val="0"/>
      <w:sz w:val="22"/>
    </w:rPr>
  </w:style>
  <w:style w:type="paragraph" w:styleId="11">
    <w:name w:val="Normal (Web)"/>
    <w:basedOn w:val="1"/>
    <w:semiHidden/>
    <w:unhideWhenUsed/>
    <w:qFormat/>
    <w:uiPriority w:val="99"/>
    <w:pPr>
      <w:spacing w:beforeAutospacing="1" w:afterAutospacing="1"/>
      <w:jc w:val="left"/>
    </w:pPr>
    <w:rPr>
      <w:rFonts w:cs="Times New Roman"/>
      <w:kern w:val="0"/>
      <w:sz w:val="24"/>
    </w:rPr>
  </w:style>
  <w:style w:type="paragraph" w:styleId="12">
    <w:name w:val="annotation subject"/>
    <w:basedOn w:val="4"/>
    <w:next w:val="4"/>
    <w:link w:val="35"/>
    <w:semiHidden/>
    <w:unhideWhenUsed/>
    <w:qFormat/>
    <w:uiPriority w:val="99"/>
    <w:rPr>
      <w:b/>
      <w:bCs/>
    </w:rPr>
  </w:style>
  <w:style w:type="table" w:styleId="14">
    <w:name w:val="Table Grid"/>
    <w:basedOn w:val="13"/>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semiHidden/>
    <w:unhideWhenUsed/>
    <w:qFormat/>
    <w:uiPriority w:val="99"/>
    <w:rPr>
      <w:color w:val="005C81"/>
      <w:u w:val="none"/>
    </w:rPr>
  </w:style>
  <w:style w:type="character" w:styleId="17">
    <w:name w:val="Emphasis"/>
    <w:basedOn w:val="15"/>
    <w:qFormat/>
    <w:uiPriority w:val="20"/>
  </w:style>
  <w:style w:type="character" w:styleId="18">
    <w:name w:val="Hyperlink"/>
    <w:basedOn w:val="15"/>
    <w:unhideWhenUsed/>
    <w:qFormat/>
    <w:uiPriority w:val="99"/>
    <w:rPr>
      <w:color w:val="0000FF" w:themeColor="hyperlink"/>
      <w:u w:val="single"/>
      <w14:textFill>
        <w14:solidFill>
          <w14:schemeClr w14:val="hlink"/>
        </w14:solidFill>
      </w14:textFill>
    </w:rPr>
  </w:style>
  <w:style w:type="character" w:styleId="19">
    <w:name w:val="annotation reference"/>
    <w:basedOn w:val="15"/>
    <w:semiHidden/>
    <w:unhideWhenUsed/>
    <w:qFormat/>
    <w:uiPriority w:val="99"/>
    <w:rPr>
      <w:sz w:val="21"/>
      <w:szCs w:val="21"/>
    </w:rPr>
  </w:style>
  <w:style w:type="paragraph" w:styleId="20">
    <w:name w:val="List Paragraph"/>
    <w:basedOn w:val="1"/>
    <w:qFormat/>
    <w:uiPriority w:val="34"/>
    <w:pPr>
      <w:ind w:firstLine="420" w:firstLineChars="200"/>
    </w:pPr>
  </w:style>
  <w:style w:type="character" w:customStyle="1" w:styleId="21">
    <w:name w:val="页眉 字符"/>
    <w:basedOn w:val="15"/>
    <w:link w:val="8"/>
    <w:qFormat/>
    <w:uiPriority w:val="99"/>
    <w:rPr>
      <w:sz w:val="18"/>
      <w:szCs w:val="18"/>
    </w:rPr>
  </w:style>
  <w:style w:type="character" w:customStyle="1" w:styleId="22">
    <w:name w:val="页脚 字符"/>
    <w:basedOn w:val="15"/>
    <w:link w:val="7"/>
    <w:qFormat/>
    <w:uiPriority w:val="99"/>
    <w:rPr>
      <w:sz w:val="18"/>
      <w:szCs w:val="18"/>
    </w:rPr>
  </w:style>
  <w:style w:type="paragraph" w:customStyle="1" w:styleId="23">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4">
    <w:name w:val="批注框文本 字符"/>
    <w:basedOn w:val="15"/>
    <w:link w:val="6"/>
    <w:semiHidden/>
    <w:qFormat/>
    <w:uiPriority w:val="99"/>
    <w:rPr>
      <w:kern w:val="2"/>
      <w:sz w:val="18"/>
      <w:szCs w:val="18"/>
    </w:rPr>
  </w:style>
  <w:style w:type="paragraph" w:customStyle="1" w:styleId="25">
    <w:name w:val="一级条标题"/>
    <w:next w:val="1"/>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26">
    <w:name w:val="章标题"/>
    <w:next w:val="1"/>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27">
    <w:name w:val="二级条标题"/>
    <w:basedOn w:val="25"/>
    <w:next w:val="1"/>
    <w:qFormat/>
    <w:uiPriority w:val="0"/>
    <w:pPr>
      <w:numPr>
        <w:ilvl w:val="2"/>
      </w:numPr>
      <w:spacing w:before="50" w:after="50"/>
      <w:outlineLvl w:val="3"/>
    </w:pPr>
  </w:style>
  <w:style w:type="paragraph" w:customStyle="1" w:styleId="28">
    <w:name w:val="三级条标题"/>
    <w:basedOn w:val="27"/>
    <w:next w:val="1"/>
    <w:qFormat/>
    <w:uiPriority w:val="0"/>
    <w:pPr>
      <w:numPr>
        <w:ilvl w:val="3"/>
      </w:numPr>
      <w:outlineLvl w:val="4"/>
    </w:pPr>
  </w:style>
  <w:style w:type="paragraph" w:customStyle="1" w:styleId="29">
    <w:name w:val="四级条标题"/>
    <w:basedOn w:val="28"/>
    <w:next w:val="1"/>
    <w:qFormat/>
    <w:uiPriority w:val="0"/>
    <w:pPr>
      <w:numPr>
        <w:ilvl w:val="4"/>
      </w:numPr>
      <w:outlineLvl w:val="5"/>
    </w:pPr>
  </w:style>
  <w:style w:type="paragraph" w:customStyle="1" w:styleId="30">
    <w:name w:val="五级条标题"/>
    <w:basedOn w:val="29"/>
    <w:next w:val="1"/>
    <w:qFormat/>
    <w:uiPriority w:val="0"/>
    <w:pPr>
      <w:numPr>
        <w:ilvl w:val="5"/>
      </w:numPr>
      <w:outlineLvl w:val="6"/>
    </w:pPr>
  </w:style>
  <w:style w:type="character" w:customStyle="1" w:styleId="31">
    <w:name w:val="标题 1 字符"/>
    <w:basedOn w:val="15"/>
    <w:link w:val="2"/>
    <w:qFormat/>
    <w:uiPriority w:val="9"/>
    <w:rPr>
      <w:b/>
      <w:bCs/>
      <w:kern w:val="44"/>
      <w:sz w:val="44"/>
      <w:szCs w:val="44"/>
    </w:rPr>
  </w:style>
  <w:style w:type="character" w:customStyle="1" w:styleId="32">
    <w:name w:val="标题 3 字符"/>
    <w:basedOn w:val="15"/>
    <w:link w:val="3"/>
    <w:semiHidden/>
    <w:qFormat/>
    <w:uiPriority w:val="9"/>
    <w:rPr>
      <w:b/>
      <w:bCs/>
      <w:kern w:val="2"/>
      <w:sz w:val="32"/>
      <w:szCs w:val="32"/>
    </w:rPr>
  </w:style>
  <w:style w:type="paragraph" w:customStyle="1" w:styleId="33">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批注文字 字符"/>
    <w:basedOn w:val="15"/>
    <w:link w:val="4"/>
    <w:semiHidden/>
    <w:qFormat/>
    <w:uiPriority w:val="99"/>
    <w:rPr>
      <w:kern w:val="2"/>
      <w:sz w:val="21"/>
      <w:szCs w:val="22"/>
    </w:rPr>
  </w:style>
  <w:style w:type="character" w:customStyle="1" w:styleId="35">
    <w:name w:val="批注主题 字符"/>
    <w:basedOn w:val="34"/>
    <w:link w:val="12"/>
    <w:semiHidden/>
    <w:qFormat/>
    <w:uiPriority w:val="99"/>
    <w:rPr>
      <w:b/>
      <w:bCs/>
      <w:kern w:val="2"/>
      <w:sz w:val="21"/>
      <w:szCs w:val="22"/>
    </w:rPr>
  </w:style>
  <w:style w:type="character" w:customStyle="1" w:styleId="36">
    <w:name w:val="fontstyle01"/>
    <w:basedOn w:val="15"/>
    <w:qFormat/>
    <w:uiPriority w:val="0"/>
    <w:rPr>
      <w:rFonts w:hint="eastAsia" w:ascii="宋体" w:hAnsi="宋体" w:eastAsia="宋体"/>
      <w:color w:val="000000"/>
      <w:sz w:val="24"/>
      <w:szCs w:val="24"/>
    </w:rPr>
  </w:style>
  <w:style w:type="character" w:customStyle="1" w:styleId="37">
    <w:name w:val="fontstyle21"/>
    <w:basedOn w:val="15"/>
    <w:qFormat/>
    <w:uiPriority w:val="0"/>
    <w:rPr>
      <w:rFonts w:hint="default" w:ascii="TimesNewRomanPSMT" w:hAnsi="TimesNewRomanPSMT"/>
      <w:color w:val="000000"/>
      <w:sz w:val="18"/>
      <w:szCs w:val="18"/>
    </w:rPr>
  </w:style>
  <w:style w:type="paragraph" w:customStyle="1" w:styleId="38">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39">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1929</Words>
  <Characters>10997</Characters>
  <Lines>91</Lines>
  <Paragraphs>25</Paragraphs>
  <TotalTime>47</TotalTime>
  <ScaleCrop>false</ScaleCrop>
  <LinksUpToDate>false</LinksUpToDate>
  <CharactersWithSpaces>12901</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2024-01-08T10:02:00Z</dcterms:created>
  <dc:creator>hyh</dc:creator>
  <cp:lastModifiedBy>yangshuo</cp:lastModifiedBy>
  <cp:lastPrinted>2021-09-09T09:45:00Z</cp:lastPrinted>
  <dcterms:modified xsi:type="dcterms:W3CDTF">2024-01-15T15:28:07Z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FBA886B0F0744233A263463858D1B9E8_13</vt:lpwstr>
  </property>
</Properties>
</file>